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A35" w:rsidRPr="00D92A35" w:rsidRDefault="00D92A35" w:rsidP="00D92A35">
      <w:pPr>
        <w:spacing w:after="0" w:line="240" w:lineRule="auto"/>
        <w:jc w:val="center"/>
        <w:rPr>
          <w:rFonts w:ascii="Times New Roman" w:hAnsi="Times New Roman" w:cs="Times New Roman"/>
          <w:b/>
          <w:bCs/>
          <w:sz w:val="28"/>
          <w:szCs w:val="28"/>
          <w:lang w:val="en-US"/>
        </w:rPr>
      </w:pPr>
      <w:r w:rsidRPr="00D92A35">
        <w:rPr>
          <w:rFonts w:ascii="Times New Roman" w:hAnsi="Times New Roman" w:cs="Times New Roman"/>
          <w:b/>
          <w:bCs/>
          <w:sz w:val="28"/>
          <w:szCs w:val="28"/>
          <w:lang w:val="en-US"/>
        </w:rPr>
        <w:t>Development of Student Worksheets on Spatial Structure Material Based on Candi Penataran to Support Student Learning Outcomes</w:t>
      </w:r>
    </w:p>
    <w:p w:rsidR="005052FB" w:rsidRPr="008C07FA" w:rsidRDefault="005052FB" w:rsidP="00BE6608">
      <w:pPr>
        <w:spacing w:after="0" w:line="240" w:lineRule="auto"/>
        <w:jc w:val="both"/>
        <w:rPr>
          <w:rFonts w:ascii="Times New Roman" w:hAnsi="Times New Roman" w:cs="Times New Roman"/>
          <w:b/>
          <w:sz w:val="28"/>
          <w:szCs w:val="28"/>
          <w:lang w:val="en-US"/>
        </w:rPr>
      </w:pPr>
    </w:p>
    <w:p w:rsidR="005052FB" w:rsidRPr="008C07FA" w:rsidRDefault="00C32089" w:rsidP="00D92A35">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D92A35">
        <w:rPr>
          <w:rFonts w:ascii="Times New Roman" w:hAnsi="Times New Roman" w:cs="Times New Roman"/>
          <w:b/>
          <w:sz w:val="24"/>
          <w:szCs w:val="24"/>
          <w:lang w:val="en-US"/>
        </w:rPr>
        <w:t>Anisah Salsabila</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D92A35">
        <w:rPr>
          <w:rFonts w:ascii="Times New Roman" w:hAnsi="Times New Roman" w:cs="Times New Roman"/>
          <w:b/>
          <w:sz w:val="24"/>
          <w:szCs w:val="24"/>
          <w:lang w:val="en-US"/>
        </w:rPr>
        <w:t>Asfira Zakiatun Nisa</w:t>
      </w:r>
      <w:r>
        <w:rPr>
          <w:rFonts w:ascii="Times New Roman" w:hAnsi="Times New Roman" w:cs="Times New Roman"/>
          <w:b/>
          <w:sz w:val="24"/>
          <w:szCs w:val="24"/>
          <w:lang w:val="en-US"/>
        </w:rPr>
        <w:t xml:space="preserve">, </w:t>
      </w:r>
      <w:r w:rsidR="00D92A35" w:rsidRPr="00D92A35">
        <w:rPr>
          <w:rFonts w:ascii="Times New Roman" w:hAnsi="Times New Roman" w:cs="Times New Roman"/>
          <w:b/>
          <w:sz w:val="24"/>
          <w:szCs w:val="24"/>
          <w:vertAlign w:val="superscript"/>
          <w:lang w:val="en-US"/>
        </w:rPr>
        <w:t>3</w:t>
      </w:r>
      <w:r w:rsidR="00D92A35">
        <w:rPr>
          <w:rFonts w:ascii="Times New Roman" w:hAnsi="Times New Roman" w:cs="Times New Roman"/>
          <w:b/>
          <w:sz w:val="24"/>
          <w:szCs w:val="24"/>
          <w:lang w:val="en-US"/>
        </w:rPr>
        <w:t xml:space="preserve">Erni Anggraini, </w:t>
      </w:r>
      <w:r w:rsidR="00D92A35" w:rsidRPr="00D92A35">
        <w:rPr>
          <w:rFonts w:ascii="Times New Roman" w:hAnsi="Times New Roman" w:cs="Times New Roman"/>
          <w:b/>
          <w:sz w:val="24"/>
          <w:szCs w:val="24"/>
          <w:vertAlign w:val="superscript"/>
          <w:lang w:val="en-US"/>
        </w:rPr>
        <w:t>4</w:t>
      </w:r>
      <w:r w:rsidR="00D92A35">
        <w:rPr>
          <w:rFonts w:ascii="Times New Roman" w:hAnsi="Times New Roman" w:cs="Times New Roman"/>
          <w:b/>
          <w:sz w:val="24"/>
          <w:szCs w:val="24"/>
          <w:lang w:val="en-US"/>
        </w:rPr>
        <w:t>Marhayati</w:t>
      </w:r>
    </w:p>
    <w:p w:rsidR="005052FB" w:rsidRPr="008C07FA" w:rsidRDefault="00D92A35" w:rsidP="00D92A35">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iCs/>
          <w:color w:val="000000"/>
          <w:sz w:val="24"/>
          <w:szCs w:val="24"/>
          <w:bdr w:val="none" w:sz="0" w:space="0" w:color="auto" w:frame="1"/>
          <w:lang w:val="en-US"/>
        </w:rPr>
        <w:t>Departement of Mathematics Education</w:t>
      </w:r>
      <w:r w:rsidR="00C32089">
        <w:rPr>
          <w:rFonts w:ascii="Times New Roman" w:eastAsia="Times New Roman" w:hAnsi="Times New Roman" w:cs="Times New Roman"/>
          <w:iCs/>
          <w:color w:val="000000"/>
          <w:sz w:val="24"/>
          <w:szCs w:val="24"/>
          <w:bdr w:val="none" w:sz="0" w:space="0" w:color="auto" w:frame="1"/>
          <w:lang w:val="en-US"/>
        </w:rPr>
        <w:t xml:space="preserve">, </w:t>
      </w:r>
      <w:r w:rsidR="00C32089" w:rsidRPr="009F04DB">
        <w:rPr>
          <w:rFonts w:ascii="Times New Roman" w:eastAsia="Times New Roman" w:hAnsi="Times New Roman" w:cs="Times New Roman"/>
          <w:iCs/>
          <w:color w:val="000000"/>
          <w:sz w:val="24"/>
          <w:szCs w:val="24"/>
          <w:bdr w:val="none" w:sz="0" w:space="0" w:color="auto" w:frame="1"/>
        </w:rPr>
        <w:t>F</w:t>
      </w:r>
      <w:r w:rsidR="00C32089">
        <w:rPr>
          <w:rFonts w:ascii="Times New Roman" w:eastAsia="Times New Roman" w:hAnsi="Times New Roman" w:cs="Times New Roman"/>
          <w:iCs/>
          <w:color w:val="000000"/>
          <w:sz w:val="24"/>
          <w:szCs w:val="24"/>
          <w:bdr w:val="none" w:sz="0" w:space="0" w:color="auto" w:frame="1"/>
          <w:lang w:val="en-US"/>
        </w:rPr>
        <w:t xml:space="preserve">aculty of </w:t>
      </w:r>
      <w:r>
        <w:rPr>
          <w:rFonts w:ascii="Times New Roman" w:eastAsia="Times New Roman" w:hAnsi="Times New Roman" w:cs="Times New Roman"/>
          <w:iCs/>
          <w:color w:val="000000"/>
          <w:sz w:val="24"/>
          <w:szCs w:val="24"/>
          <w:bdr w:val="none" w:sz="0" w:space="0" w:color="auto" w:frame="1"/>
          <w:lang w:val="en-US"/>
        </w:rPr>
        <w:t>Learning</w:t>
      </w:r>
      <w:r w:rsidR="00C32089">
        <w:rPr>
          <w:rFonts w:ascii="Times New Roman" w:eastAsia="Times New Roman" w:hAnsi="Times New Roman" w:cs="Times New Roman"/>
          <w:iCs/>
          <w:color w:val="000000"/>
          <w:sz w:val="24"/>
          <w:szCs w:val="24"/>
          <w:bdr w:val="none" w:sz="0" w:space="0" w:color="auto" w:frame="1"/>
          <w:lang w:val="en-US"/>
        </w:rPr>
        <w:t xml:space="preserve"> Education</w:t>
      </w:r>
      <w:r w:rsidR="00C32089">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 xml:space="preserve">Universitas Islam Negeri Malang. </w:t>
      </w:r>
      <w:r w:rsidR="00C32089" w:rsidRPr="009F04DB">
        <w:rPr>
          <w:rFonts w:ascii="Times New Roman" w:eastAsia="Times New Roman" w:hAnsi="Times New Roman" w:cs="Times New Roman"/>
          <w:iCs/>
          <w:color w:val="000000"/>
          <w:sz w:val="24"/>
          <w:szCs w:val="24"/>
          <w:bdr w:val="none" w:sz="0" w:space="0" w:color="auto" w:frame="1"/>
        </w:rPr>
        <w:t xml:space="preserve">Jl. </w:t>
      </w:r>
      <w:r>
        <w:rPr>
          <w:rFonts w:ascii="Times New Roman" w:eastAsia="Times New Roman" w:hAnsi="Times New Roman" w:cs="Times New Roman"/>
          <w:iCs/>
          <w:color w:val="000000"/>
          <w:sz w:val="24"/>
          <w:szCs w:val="24"/>
          <w:bdr w:val="none" w:sz="0" w:space="0" w:color="auto" w:frame="1"/>
          <w:lang w:val="en-US"/>
        </w:rPr>
        <w:t xml:space="preserve">Gajayana </w:t>
      </w:r>
      <w:r>
        <w:rPr>
          <w:rFonts w:ascii="Times New Roman" w:eastAsia="Times New Roman" w:hAnsi="Times New Roman" w:cs="Times New Roman"/>
          <w:iCs/>
          <w:color w:val="000000"/>
          <w:sz w:val="24"/>
          <w:szCs w:val="24"/>
          <w:bdr w:val="none" w:sz="0" w:space="0" w:color="auto" w:frame="1"/>
        </w:rPr>
        <w:t>No. 5</w:t>
      </w:r>
      <w:r>
        <w:rPr>
          <w:rFonts w:ascii="Times New Roman" w:eastAsia="Times New Roman" w:hAnsi="Times New Roman" w:cs="Times New Roman"/>
          <w:iCs/>
          <w:color w:val="000000"/>
          <w:sz w:val="24"/>
          <w:szCs w:val="24"/>
          <w:bdr w:val="none" w:sz="0" w:space="0" w:color="auto" w:frame="1"/>
          <w:lang w:val="en-US"/>
        </w:rPr>
        <w:t>0</w:t>
      </w:r>
      <w:r w:rsidR="00C32089" w:rsidRPr="009F04DB">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 xml:space="preserve">Dinoyo, Lowokwaru, </w:t>
      </w:r>
      <w:r>
        <w:rPr>
          <w:rFonts w:ascii="Times New Roman" w:eastAsia="Times New Roman" w:hAnsi="Times New Roman" w:cs="Times New Roman"/>
          <w:iCs/>
          <w:color w:val="000000"/>
          <w:sz w:val="24"/>
          <w:szCs w:val="24"/>
          <w:bdr w:val="none" w:sz="0" w:space="0" w:color="auto" w:frame="1"/>
        </w:rPr>
        <w:t>Ma</w:t>
      </w:r>
      <w:r>
        <w:rPr>
          <w:rFonts w:ascii="Times New Roman" w:eastAsia="Times New Roman" w:hAnsi="Times New Roman" w:cs="Times New Roman"/>
          <w:iCs/>
          <w:color w:val="000000"/>
          <w:sz w:val="24"/>
          <w:szCs w:val="24"/>
          <w:bdr w:val="none" w:sz="0" w:space="0" w:color="auto" w:frame="1"/>
          <w:lang w:val="en-US"/>
        </w:rPr>
        <w:t>lang</w:t>
      </w:r>
      <w:r w:rsidR="00C32089" w:rsidRPr="009F04DB">
        <w:rPr>
          <w:rFonts w:ascii="Times New Roman" w:eastAsia="Times New Roman" w:hAnsi="Times New Roman" w:cs="Times New Roman"/>
          <w:iCs/>
          <w:color w:val="000000"/>
          <w:sz w:val="24"/>
          <w:szCs w:val="24"/>
          <w:bdr w:val="none" w:sz="0" w:space="0" w:color="auto" w:frame="1"/>
        </w:rPr>
        <w:t>, Indonesia</w:t>
      </w:r>
      <w:r w:rsidR="00C32089">
        <w:rPr>
          <w:rFonts w:ascii="Times New Roman" w:eastAsia="Times New Roman" w:hAnsi="Times New Roman" w:cs="Times New Roman"/>
          <w:iCs/>
          <w:color w:val="000000"/>
          <w:sz w:val="24"/>
          <w:szCs w:val="24"/>
          <w:bdr w:val="none" w:sz="0" w:space="0" w:color="auto" w:frame="1"/>
          <w:lang w:val="en-US"/>
        </w:rPr>
        <w:t>.</w:t>
      </w:r>
      <w:r>
        <w:rPr>
          <w:rFonts w:ascii="Times New Roman" w:eastAsia="Times New Roman" w:hAnsi="Times New Roman" w:cs="Times New Roman"/>
          <w:iCs/>
          <w:color w:val="000000"/>
          <w:sz w:val="24"/>
          <w:szCs w:val="24"/>
          <w:bdr w:val="none" w:sz="0" w:space="0" w:color="auto" w:frame="1"/>
          <w:lang w:val="en-US"/>
        </w:rPr>
        <w:t xml:space="preserve"> </w:t>
      </w:r>
      <w:r w:rsidR="00C32089">
        <w:rPr>
          <w:rFonts w:ascii="Times New Roman" w:eastAsia="Times New Roman" w:hAnsi="Times New Roman" w:cs="Times New Roman"/>
          <w:iCs/>
          <w:color w:val="000000"/>
          <w:sz w:val="24"/>
          <w:szCs w:val="24"/>
          <w:bdr w:val="none" w:sz="0" w:space="0" w:color="auto" w:frame="1"/>
          <w:lang w:val="en-US"/>
        </w:rPr>
        <w:t xml:space="preserve">Postal code: </w:t>
      </w:r>
      <w:r>
        <w:rPr>
          <w:rFonts w:ascii="Times New Roman" w:eastAsia="Times New Roman" w:hAnsi="Times New Roman" w:cs="Times New Roman"/>
          <w:iCs/>
          <w:color w:val="000000"/>
          <w:sz w:val="24"/>
          <w:szCs w:val="24"/>
          <w:bdr w:val="none" w:sz="0" w:space="0" w:color="auto" w:frame="1"/>
          <w:lang w:val="en-US"/>
        </w:rPr>
        <w:t>65144</w:t>
      </w:r>
      <w:r w:rsidR="00C32089" w:rsidRPr="009F04DB">
        <w:rPr>
          <w:rFonts w:ascii="Times New Roman" w:eastAsia="Times New Roman" w:hAnsi="Times New Roman" w:cs="Times New Roman"/>
          <w:iCs/>
          <w:color w:val="000000"/>
          <w:sz w:val="24"/>
          <w:szCs w:val="24"/>
          <w:bdr w:val="none" w:sz="0" w:space="0" w:color="auto" w:frame="1"/>
        </w:rPr>
        <w:t xml:space="preserve"> </w:t>
      </w:r>
    </w:p>
    <w:p w:rsidR="005052FB" w:rsidRPr="00C32089" w:rsidRDefault="005052FB" w:rsidP="00D92A35">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hyperlink r:id="rId8" w:history="1">
        <w:r w:rsidR="00D92A35" w:rsidRPr="00F93765">
          <w:rPr>
            <w:rStyle w:val="Hyperlink"/>
            <w:rFonts w:ascii="Times New Roman" w:hAnsi="Times New Roman" w:cs="Times New Roman"/>
            <w:sz w:val="24"/>
            <w:szCs w:val="24"/>
            <w:lang w:val="en-US"/>
          </w:rPr>
          <w:t>anisahslsbl@gmail.com</w:t>
        </w:r>
      </w:hyperlink>
    </w:p>
    <w:p w:rsidR="00050A0D" w:rsidRPr="008C07FA" w:rsidRDefault="00050A0D" w:rsidP="005052FB">
      <w:pPr>
        <w:spacing w:after="0" w:line="240" w:lineRule="auto"/>
        <w:rPr>
          <w:rStyle w:val="Hyperlink"/>
          <w:rFonts w:ascii="Times New Roman" w:hAnsi="Times New Roman" w:cs="Times New Roman"/>
          <w:i/>
          <w:sz w:val="20"/>
          <w:szCs w:val="24"/>
          <w:u w:val="none"/>
        </w:rPr>
      </w:pPr>
    </w:p>
    <w:p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rsidR="00D92A35" w:rsidRPr="00D92A35" w:rsidRDefault="00D92A35" w:rsidP="00D92A35">
      <w:pPr>
        <w:spacing w:line="240" w:lineRule="auto"/>
        <w:jc w:val="both"/>
        <w:rPr>
          <w:rFonts w:ascii="Times New Roman" w:hAnsi="Times New Roman" w:cs="Times New Roman"/>
          <w:color w:val="000000" w:themeColor="text1"/>
          <w:sz w:val="20"/>
          <w:szCs w:val="20"/>
          <w:lang w:val="en-US"/>
        </w:rPr>
      </w:pPr>
      <w:r w:rsidRPr="00D92A35">
        <w:rPr>
          <w:rFonts w:ascii="Times New Roman" w:hAnsi="Times New Roman" w:cs="Times New Roman"/>
          <w:color w:val="000000" w:themeColor="text1"/>
          <w:sz w:val="20"/>
          <w:szCs w:val="20"/>
          <w:lang w:val="en-US"/>
        </w:rPr>
        <w:t>This research aims to develop Student Worksheets (LKPD) based on the Spatial Structure Material with a foundation in Penataran Temple to support students' learning outcomes. The study also aims to assess the validity of the LKPD and measure the improvement in students' learning outcomes after using the LKPD.  The research follows the development model proposed by Richey and Klein, which consists of three stages: planning, production, and evaluation. The planning stage involves needs analysis, concept development, and planning for the implementation of the LKPD. The researcher conducts an initial study regarding the challenges in teaching spatial geometry to junior high school students and devises strategies to enhance their learning outcomes. Additionally, needs analysis for the development of worksheets based on Penataran Temple and spatial structure is carried out during the planning stage. The production stage includes the creation and development of LKPD based on the concepts and objectives designed during the planning phase. The researcher develops LKPD that focuses on the Penataran Temple and spatial structure concepts. The results of the pre-test and post-test analyses indicate a significant improvement in the average scores of students. The average pre-test score is 29.86, while the average post-test score is 64.93. These results also reflect an increase in the number of students who have reached the minimum passing grade (KKM) across various schools with varying KKM standards.</w:t>
      </w:r>
    </w:p>
    <w:p w:rsidR="00050A0D" w:rsidRPr="00C32089" w:rsidRDefault="00050A0D" w:rsidP="00FC34F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r w:rsidR="00FC34FD">
        <w:rPr>
          <w:rFonts w:ascii="Times New Roman" w:hAnsi="Times New Roman" w:cs="Times New Roman"/>
          <w:bCs/>
          <w:i/>
          <w:sz w:val="20"/>
          <w:szCs w:val="20"/>
          <w:lang w:val="en-US"/>
        </w:rPr>
        <w:t xml:space="preserve">Student </w:t>
      </w:r>
      <w:r w:rsidR="00D92A35">
        <w:rPr>
          <w:rFonts w:ascii="Times New Roman" w:hAnsi="Times New Roman"/>
          <w:i/>
          <w:sz w:val="20"/>
          <w:szCs w:val="20"/>
          <w:lang w:val="en-US"/>
        </w:rPr>
        <w:t xml:space="preserve">Worksheet, Penataran Temple, </w:t>
      </w:r>
      <w:r w:rsidR="00FC34FD" w:rsidRPr="00FC34FD">
        <w:rPr>
          <w:rFonts w:ascii="Times New Roman" w:hAnsi="Times New Roman"/>
          <w:i/>
          <w:sz w:val="20"/>
          <w:szCs w:val="20"/>
          <w:lang w:val="en-US"/>
        </w:rPr>
        <w:t>Flat Surface Spatial Geometry</w:t>
      </w:r>
      <w:r w:rsidR="00FC34FD" w:rsidRPr="00FC34FD">
        <w:rPr>
          <w:rFonts w:ascii="Times New Roman" w:hAnsi="Times New Roman"/>
          <w:i/>
          <w:sz w:val="20"/>
          <w:szCs w:val="20"/>
        </w:rPr>
        <w:t>, Learning Outcomes</w:t>
      </w:r>
    </w:p>
    <w:p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D92A35">
        <w:rPr>
          <w:rFonts w:ascii="Times New Roman" w:eastAsia="Times New Roman" w:hAnsi="Times New Roman" w:cs="Times New Roman"/>
          <w:color w:val="222222"/>
          <w:sz w:val="20"/>
          <w:szCs w:val="20"/>
          <w:lang w:val="en-US" w:eastAsia="id-ID"/>
        </w:rPr>
        <w:t>Anisah Salsabila</w:t>
      </w:r>
      <w:r w:rsidRPr="008C07FA">
        <w:rPr>
          <w:rFonts w:ascii="Times New Roman" w:eastAsia="Times New Roman" w:hAnsi="Times New Roman" w:cs="Times New Roman"/>
          <w:color w:val="222222"/>
          <w:sz w:val="20"/>
          <w:szCs w:val="20"/>
          <w:lang w:val="en-US" w:eastAsia="id-ID"/>
        </w:rPr>
        <w:t>.,</w:t>
      </w:r>
      <w:r w:rsidR="00D92A35">
        <w:rPr>
          <w:rFonts w:ascii="Times New Roman" w:eastAsia="Times New Roman" w:hAnsi="Times New Roman" w:cs="Times New Roman"/>
          <w:color w:val="222222"/>
          <w:sz w:val="20"/>
          <w:szCs w:val="20"/>
          <w:lang w:val="en-US" w:eastAsia="id-ID"/>
        </w:rPr>
        <w:t>Asfira Zakiatun Nisa</w:t>
      </w:r>
      <w:r w:rsidR="00C32089">
        <w:rPr>
          <w:rFonts w:ascii="Times New Roman" w:eastAsia="Times New Roman" w:hAnsi="Times New Roman" w:cs="Times New Roman"/>
          <w:color w:val="222222"/>
          <w:sz w:val="20"/>
          <w:szCs w:val="20"/>
          <w:lang w:val="en-US" w:eastAsia="id-ID"/>
        </w:rPr>
        <w:t xml:space="preserve">., </w:t>
      </w:r>
      <w:r w:rsidR="00D92A35">
        <w:rPr>
          <w:rFonts w:ascii="Times New Roman" w:eastAsia="Times New Roman" w:hAnsi="Times New Roman" w:cs="Times New Roman"/>
          <w:color w:val="222222"/>
          <w:sz w:val="20"/>
          <w:szCs w:val="20"/>
          <w:lang w:val="en-US" w:eastAsia="id-ID"/>
        </w:rPr>
        <w:t>Erni Anggaraini &amp; Marhayati</w:t>
      </w:r>
      <w:r w:rsidR="00C32089">
        <w:rPr>
          <w:rFonts w:ascii="Times New Roman" w:eastAsia="Times New Roman" w:hAnsi="Times New Roman" w:cs="Times New Roman"/>
          <w:color w:val="222222"/>
          <w:sz w:val="20"/>
          <w:szCs w:val="20"/>
          <w:lang w:eastAsia="id-ID"/>
        </w:rPr>
        <w:t>.</w:t>
      </w:r>
      <w:r w:rsidR="00D92A35">
        <w:rPr>
          <w:rFonts w:ascii="Times New Roman" w:eastAsia="Times New Roman" w:hAnsi="Times New Roman" w:cs="Times New Roman"/>
          <w:color w:val="222222"/>
          <w:sz w:val="20"/>
          <w:szCs w:val="20"/>
          <w:lang w:eastAsia="id-ID"/>
        </w:rPr>
        <w:t xml:space="preserve"> (20</w:t>
      </w:r>
      <w:r w:rsidR="00D92A35">
        <w:rPr>
          <w:rFonts w:ascii="Times New Roman" w:eastAsia="Times New Roman" w:hAnsi="Times New Roman" w:cs="Times New Roman"/>
          <w:color w:val="222222"/>
          <w:sz w:val="20"/>
          <w:szCs w:val="20"/>
          <w:lang w:val="en-US" w:eastAsia="id-ID"/>
        </w:rPr>
        <w:t>24</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xx-yy</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hyperlink r:id="rId9"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794"/>
        <w:gridCol w:w="5278"/>
      </w:tblGrid>
      <w:tr w:rsidR="00050A0D" w:rsidRPr="008C07FA" w:rsidTr="00C32089">
        <w:tc>
          <w:tcPr>
            <w:tcW w:w="3794" w:type="dxa"/>
            <w:tcBorders>
              <w:bottom w:val="single" w:sz="12" w:space="0" w:color="0070C0"/>
            </w:tcBorders>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D92A35">
                <w:rPr>
                  <w:rStyle w:val="Hyperlink"/>
                  <w:rFonts w:ascii="Times New Roman" w:hAnsi="Times New Roman" w:cs="Times New Roman"/>
                  <w:color w:val="auto"/>
                  <w:sz w:val="20"/>
                  <w:u w:val="none"/>
                </w:rPr>
                <w:t>xx</w:t>
              </w:r>
              <w:r w:rsidR="00C32089" w:rsidRPr="00D365C0">
                <w:rPr>
                  <w:rStyle w:val="Hyperlink"/>
                  <w:rFonts w:ascii="Times New Roman" w:hAnsi="Times New Roman" w:cs="Times New Roman"/>
                  <w:color w:val="auto"/>
                  <w:sz w:val="20"/>
                  <w:u w:val="none"/>
                </w:rPr>
                <w:t>i</w:t>
              </w:r>
              <w:r w:rsidR="00C32089" w:rsidRPr="00D92A35">
                <w:rPr>
                  <w:rStyle w:val="Hyperlink"/>
                  <w:rFonts w:ascii="Times New Roman" w:hAnsi="Times New Roman" w:cs="Times New Roman"/>
                  <w:color w:val="auto"/>
                  <w:sz w:val="20"/>
                  <w:u w:val="none"/>
                </w:rPr>
                <w:t>yy</w:t>
              </w:r>
            </w:hyperlink>
          </w:p>
        </w:tc>
        <w:tc>
          <w:tcPr>
            <w:tcW w:w="5278" w:type="dxa"/>
            <w:tcBorders>
              <w:bottom w:val="single" w:sz="12" w:space="0" w:color="0070C0"/>
            </w:tcBorders>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 (12pt, Times New Roman)</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Learning outcomes can be characterized by changes in knowledge or skills. Changes in knowledge can occur due to experiences gained during the teaching and learning process</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{"citationItems":[{"id":"ITEM-1","itemData":{"DOI":"10.25273/jipm.v11i2.14336","ISSN":"2502-4671","abstract":"This is an open access article under the CC-BY-SA license (https://creativecommons.org/licenses/by-sa/4.0/) Abstrak: LKPD merupakan salah satu bahan ajar yang berperan sebagai pendukung dalam proses belajar. LKPD dapat digunakan untuk meringankan tugas guru, dan mengaktifkan siswa dalam proses belajar. Tujuan dari penelitian ini ialah untuk mengembangkan LKPD berbasis pendekatan RME. Penelitian ini merupakan penelitian pengembangan atau Research and Development dengan menggunakan model pengembangan 4-D (Define, Design, Develop, Desseminate). Pengolahan data dari penelitian ini dianalisis menggunakan lembar validasi, lembar praktikalitas, dan soal tes. Lembar validasi digunakan untuk mengetahui kelayakan LKPD berbasis pendekatan RME. Lembar praktikalitas digunakan untuk mendeskripsikan apakah LKPD berbasis pendekatan RME mudah dan efesien untuk digunakan. Soal tes digunakan untuk menghitung seberapa efektivitas dari LKPD berbasis pendekatan RME dapat diaplikasikan dalam prooses pembelajaran. Berdasarkan hasil validasi ditemukan bahwa rata-rata penilaian dari validator sebesar 89 dengan sangat valid. Hasil respon praktikalitas pembelajaran secara keseluruhan diperoleh skor 105, rata-rata 92, dengan kategori sangat praktis. Hasil perhitungan score N-Gain adalah 75% dengan kriteria sangat efektif. Maka dari itu, pengembangan LKPD berbasis pendekatan RME dinyatakan valid, praktis dan efektif untuk digunakan di kelas II SD sebagai bahan ajar tambahan saat belajar matematika. Abstract: The students' worksheets are one of the teaching materials that act as a support in the learning process. The students' worksheets can be used to ease the teacher's task, and activate students in the learning process. The purpose of this research is to develop student worksheets based on the RME approach. This research is a development research using the 4-D development model (Define, Design, Develop, and Disseminate). Data processing from this research was analyzed using validation sheets, practicality sheets, and test questions. The validation sheet is used to determine the feasibility of student worksheets based on the RME approach. Practicality sheets are used to describe whether student worksheets based on the RME approach are easy and efficient to use. Test questions are used to calculate the effectiveness of student worksheets based on the RME approach that can be applied in the learning process. Based on the results of the validation it was found that the average rating …","author":[{"dropping-particle":"","family":"Chandra","given":"Asnul","non-dropping-particle":"","parse-names":false,"suffix":""},{"dropping-particle":"","family":"Hidayati","given":"Abna","non-dropping-particle":"","parse-names":false,"suffix":""}],"container-title":"Jurnal Ilmiah Pendidikan Matematika)","id":"ITEM-1","issue":"2","issued":{"date-parts":[["2023"]]},"page":"280-292","title":"Pengembangan LKPD Berbasis Pendekatan Realistic Mathematics Education","type":"article-journal","volume":"11"},"uris":["http://www.mendeley.com/documents/?uuid=3b0b2d3b-a56f-32ef-a68a-01cf1246811d","http://www.mendeley.com/documents/?uuid=a8c74b6e-208e-42a0-9872-cbe2665237a4"]}],"mendeley":{"formattedCitation":"(A. Chandra &amp; Hidayati, 2023)","plainTextFormattedCitation":"(A. Chandra &amp; Hidayati, 2023)","previouslyFormattedCitation":"(A. Chandra &amp; Hidayati, 2023)"},"properties":{"noteIndex":0},"schema":"https://github.com/citation-style-language/schema/raw/master/csl-citation.json"}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(A. Chandra &amp; Hidayati, 2023)</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To achieve optimal student learning outcomes, meaningful learning processes are necessary. Meaningful learning can be ensured by considering students' prior knowledge to yield optimal results</w:t>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ISSN":"2656-7245","author":[{"dropping-particle":"","family":"Wati","given":"Jamila","non-dropping-particle":"","parse-names":false,"suffix":""}],"container-title":"INOMATIKA","id":"ITEM-1","issue":"2","issued":{"date-parts":[["2020"]]},"page":"106-116","title":"Tahap Preliminary Research Pengembangan LKPD Berbasis PBL Materi Peluang Kejadian Majemuk","type":"article-journal","volume":"2"},"uris":["http://www.mendeley.com/documents/?uuid=045cf25a-dba2-4ad3-9511-99ec796ebfe8","http://www.mendeley.com/documents/?uuid=07fe55f3-5658-4921-849c-2d99ef87b12c"]}],"mendeley":{"formattedCitation":"(Wati, 2020)","plainTextFormattedCitation":"(Wati, 2020)","previouslyFormattedCitation":"(Wati, 2020)"},"properties":{"noteIndex":0},"schema":"https://github.com/citation-style-language/schema/raw/master/csl-citation.json"}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(Wati, 2020)</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xml:space="preserve">. </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Success in learning can be attributed to the support of each learning component. One of these components is teaching materials. Teaching materials are fundamental in education as they provide guidance that helps teachers convey information more effectively and aids students in understanding the learning materials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{"citationItems":[{"id":"ITEM-1","itemData":{"DOI":"10.31004/cendekia.v7i1.1877","ISSN":"2614-3038","abstract":"Salah satu penerapan budaya dalam pembelajaran adalah penggunaan bahan ajar yang memuat unsur budaya di dalamnya. Namun pada kenyataannya masih jarang ditemukan perangkat pembelajaran yang memanfaatkan kearifan lokal masyarakat sekitar. Salah satu unsur budaya yang bisa diterapkan dalam pembelajaran matematika adalah jajanan pasar tradisional yang memiliki bentuk bangun ruang sisi lengkung. Penelitian ini merupakan penelitian pengembangan (RnD) yang bertujuan mengembangkan Lembar Kerja Peserta Didik (LKPD) berbasis etnomatematika pada materi bangun ruang sisi lengkung unutuk kelas IX SMP dan mengetahui kelayakannya melalui uji validasi dan kepraktisan. Model penelitian yang digunakan adalah model 4-D yang telah dimodifikasi menjadi 3-D, yang dibagi dalam 3 tahap; define (pendefinisian), design (perancangan), dan develop (pengembangan). Instrumen penelitian meliputi lembar validasi untuk mengukur kelayakan produk, wawancara dengan guru mata pelajaran dan angket respon peserta didik untuk mengukur tingkat kepraktisan produk. LKPD memperoleh skor 3,9 dalam validasi materi dan skor 3,5 pada validasi media yang telah memenuhi kategori sangat valid. Berdasarkan angket respon peserta didik, LKPD juga telah memperoleh persentase kepraktisan 76% yang masuk dalam kategori sangat baik. Oleh karena itu, LKPD berbasis etnomatematika jajanan pasar dikatakan layak dan praktis untuk digunakan dalam proses pembelajaran.","author":[{"dropping-particle":"","family":"Luthfi","given":"Hannia","non-dropping-particle":"","parse-names":false,"suffix":""},{"dropping-particle":"","family":"Rakhmawati","given":"Fibri","non-dropping-particle":"","parse-names":false,"suffix":""}],"container-title":"Jurnal Cendekia : Jurnal Pendidikan Matematika","id":"ITEM-1","issue":"1","issued":{"date-parts":[["2022"]]},"page":"98-109","title":"Pengembangan Lembar Kerja Peserta Didik (LKPD) Berbasis Etnomatematika pada Materi Bangun Ruang Sisi Lengkung Kelas IX","type":"article-journal","volume":"7"},"uris":["http://www.mendeley.com/documents/?uuid=a02f75bd-598f-4aae-af24-7576f2c6fe07","http://www.mendeley.com/documents/?uuid=2e4de026-2290-4526-8536-d44d17d81f36"]}],"mendeley":{"formattedCitation":"(Luthfi &amp; Rakhmawati, 2022)","plainTextFormattedCitation":"(Luthfi &amp; Rakhmawati, 2022)","previouslyFormattedCitation":"(Luthfi &amp; Rakhmawati,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(Luthfi &amp; Rakhmawati, 2022)</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 xml:space="preserve">In achieving educational goals and meeting competency standards, teaching resources play a significant role. Teaching materials are considered a collection of learning materials and supplementary information from various sources with the aim of creating enjoyable learning experiences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{"citationItems":[{"id":"ITEM-1","itemData":{"DOI":"10.32934/jmie.v5i2.333","ISSN":"2580-0868","abstract":"The use of instruction tools that only explains the instruction material, but does not know the extent to which students' understanding causes the instruction process to be less than optimal. This study aims to find out the development process, feasibility, and the influence of using student worksheet based on higher order thinking skills in improving Mathematics learning outcomes at MIN 3 Tulungagung and SDI Qurrota A'yun Ngunut Tulungagung. This study uses the development research model of Borg, and Gall. The results show that: (1) The development of HOTS-based worksheets begins with preparing instruction materials in accordance with the Core Competencies and Basic Competencies listed in the 2013 Curriculum.Furthermore, the researcher makes examples of HOTS questions that are in accordance with the material that has been presented, making questions individual and group practice questions and then make competency test questions at the end of the chapter. (2) The worksheets based on HOTS are suitable for use in improving Mathematics learning outcomes. This can be seen from the results of due diligence by media and material experts. (3) There is an influence of using HOTS-based worksheets as indicated by the significant difference in learning outcomes between the experimental class that does instruction using HOTS-based worksheets and the control class that does instruction without HOTS-based worksheets. This is based on the data from the t-test results in which sig-2 0.040 &lt;0.050 is obtained.","author":[{"dropping-particle":"","family":"Kuswari","given":"Retno Intan","non-dropping-particle":"","parse-names":false,"suffix":""},{"dropping-particle":"","family":"Choiruddin","given":"Choiruddin","non-dropping-particle":"","parse-names":false,"suffix":""}],"container-title":"JMIE (Journal of Madrasah Ibtidaiyah Education)","id":"ITEM-1","issue":"2","issued":{"date-parts":[["2021"]]},"page":"200","title":"the Development of Student Worksheet Based on Higher Order Thinking Skills in Improving Mathematics Learning Outcomes","type":"article-journal","volume":"5"},"uris":["http://www.mendeley.com/documents/?uuid=3226cdc2-cbc1-4796-92c7-e31ed35a530f","http://www.mendeley.com/documents/?uuid=8bec2f27-f84b-4539-9ea9-e16a7705268f"]}],"mendeley":{"formattedCitation":"(Kuswari &amp; Choiruddin, 2021)","plainTextFormattedCitation":"(Kuswari &amp; Choiruddin, 2021)","previouslyFormattedCitation":"(Kuswari &amp; Choiruddin, 2021)"},"properties":{"noteIndex":0},"schema":"https://github.com/citation-style-language/schema/raw/master/csl-citation.json"}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(Kuswari &amp; Choiruddin, 2021)</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xml:space="preserve">. One compelling tool to engage students in independent </w:t>
      </w:r>
      <w:r w:rsidRPr="00D92A35">
        <w:rPr>
          <w:rFonts w:ascii="Times New Roman" w:eastAsia="Times New Roman" w:hAnsi="Times New Roman" w:cs="Times New Roman"/>
          <w:sz w:val="24"/>
          <w:szCs w:val="24"/>
          <w:lang w:val="en-US"/>
        </w:rPr>
        <w:lastRenderedPageBreak/>
        <w:t>learning and promote effective teacher-student interaction is student worksheets</w:t>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{"citationItems":[{"id":"ITEM-1","itemData":{"DOI":"10.1186/s41029-019-0033-z","ISSN":"23641177","abstract":"It is a generally held view amongst educators today that the development of students' inference skills is an important aspect in their education as 21st Century learners as it requires higher order cognitive competences. Oftentimes, students in the lower tracks are considered slower learners and may have difficulties with the development of such skills. There is, however, limited empirical evidence to support such claims. As a result, there is a lack of understanding how such skills are taught, and how lower track students acquire them. The purpose of this study is to investigate lower track students' science inference skills over one academic year, to better understand their learning and development. To determine this, three multiple-choice science inference skills tests were developed based on science syllabus and administered over a 9-month period. In total, 1397 Grade 7 lower track (i.e., Normal Academic) students from 38 Singapore secondary schools participated in the study. The students' performances were determined through three equated tests using Rasch common-item procedures. The results showed that students experienced greater difficulty with tests over time. They particularly had difficulties with questions pertinent to graphs, tables, diagrams, or charts, or required them to extend their thinking beyond the given information. They also had difficulty in deducing answers using the elimination technique, and items that involved experiments and variables. Items that involved pattern recognition, concluding using range, application of a given concept, and limited information were easier for them. The findings also have implications for science teacher education in terms of assessment literacy, and the science teaching of lower track students.","author":[{"dropping-particle":"","family":"Teo","given":"Tang Wee","non-dropping-particle":"","parse-names":false,"suffix":""},{"dropping-particle":"","family":"Goh","given":"Wee Pin Jonathan","non-dropping-particle":"","parse-names":false,"suffix":""}],"container-title":"Asia-Pacific Science Education","id":"ITEM-1","issue":"1","issued":{"date-parts":[["2019"]]},"page":"1-19","publisher":"Asia-Pacific Science Education","title":"Assessing lower track students' learning in science inference skills in Singapore","type":"article-journal","volume":"5"},"uris":["http://www.mendeley.com/documents/?uuid=536e11fb-5bfc-4b62-9a84-d7a6c20b65ef","http://www.mendeley.com/documents/?uuid=32016b0e-83df-47f8-8e3d-0b17fec81798"]}],"mendeley":{"formattedCitation":"(Teo &amp; Goh, 2019)","plainTextFormattedCitation":"(Teo &amp; Goh, 2019)","previouslyFormattedCitation":"(Teo &amp; Goh, 2019)"},"properties":{"noteIndex":0},"schema":"https://github.com/citation-style-language/schema/raw/master/csl-citation.json"}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(Teo &amp; Goh, 2019)</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use of worksheets in teaching can improve student learning outcomes</w:t>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{"citationItems":[{"id":"ITEM-1","itemData":{"DOI":"10.31539/judika.v2i2.887","ISSN":"2620-732X","abstract":"The purpose of this study was to develop student work ethics-oriented student worksheets based on guided discoveries on the material of flat side space and to find out the quality of worksheets developed in terms of validity, practicality and potential effects. The method, this research is Research and Dependency (R&amp;D), that is development research that refers to a modified 4-D development model. The instruments used to measure the quality of worksheets developed include validation sheets, practicality questionnaires, walkthroughs and tests. Worksheets that are developed are valid based on validation sheets by experts and are practical based on a practical questionnaire. The potential effects of worksheets developed can be seen from the activities and understanding of students in working on the problems given to the worksheets. The results showed that: (1) the quality of worksheets seen from the aspect of validity included in the valid category with an average score of 3.18; (2) the quality of worksheets seen from the practical aspect is categorized practically with an average score of 3.24; and (3) worksheets have a potential effect on student learning outcomes where 20 students (76.9%) are included in the category of completion while there are 6 students (23.1%) have not been completed with the Minimum Learning Completion (KBM) specified. Conclusion, ethnomatematics-oriented worksheet based on guided discovery developed is declared valid, practical and potential in improving student learning outcomes in the material of flat side spaces.\r Keywords: Ethnomatematics, LKS, Guided Discovery","author":[{"dropping-particle":"","family":"Oktarina","given":"Anggeraini","non-dropping-particle":"","parse-names":false,"suffix":""},{"dropping-particle":"","family":"Luthfiana","given":"Maria","non-dropping-particle":"","parse-names":false,"suffix":""},{"dropping-particle":"","family":"Refianti","given":"Rani","non-dropping-particle":"","parse-names":false,"suffix":""}],"container-title":"Jurnal Pendidikan Matematika (JUDIKA EDUCATION)","id":"ITEM-1","issue":"2","issued":{"date-parts":[["2019"]]},"page":"91-101","title":"Pengembangan Lembar Kerja Siswa (LKS) Etnomatematika Berbasis Penemuan Terbimbing pada Materi Bangun Ruang Sisi Datar","type":"article-journal","volume":"2"},"uris":["http://www.mendeley.com/documents/?uuid=b907eaed-1b35-479f-9804-455013beab0b","http://www.mendeley.com/documents/?uuid=79f5b94b-dd5e-45f0-b059-fd770e4cf81a","http://www.mendeley.com/documents/?uuid=af19f12f-509d-4fb6-9831-8055ee34f92c","http://www.mendeley.com/documents/?uuid=2dbdf5d8-d95e-4600-aa6e-41f83e6c1ccb"]}],"mendeley":{"formattedCitation":"(Oktarina et al., 2019)","plainTextFormattedCitation":"(Oktarina et al., 2019)","previouslyFormattedCitation":"(Oktarina et al., 2019)"},"properties":{"noteIndex":0},"schema":"https://github.com/citation-style-language/schema/raw/master/csl-citation.json"}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(Oktarina et al., 2019)</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xml:space="preserve">. Additionally, student worksheets are employed not only to enhance learning outcomes but also to improve students' mathematical reasoning abilities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{"citationItems":[{"id":"ITEM-1","itemData":{"DOI":"10.31539/judika.v1i2.412","ISSN":"2620-732X","abstract":"The objectives of the study were to develop valid and practical problem based learning of students' worksheet for junior high school in Lubuklinggau. This is developmental study  which formative research type applied. The subject of the research was 75 junior high school students of Lubuklinggau city consists of 27 students of SMPN 9 Lubuklinggau, 27 students of SMPN 11 Lubuklinggau, 21 students of SMP PGRI Lubuklinggau. Walk through was used in data collection to know the construct, content and language validities of students' worksheet; document to know the practicality of students' worksheet. This research produced problem based learning students' worksheet which measure the students' mathematic reasoning ability. The result of mathematic reasoning ability test was 70.15. In summary, developing students' worksheet has potential effect toward students' mathematic reasoning ability.\r Keywords: Worksheet (LKS), problem based learning, reasoning ability","author":[{"dropping-particle":"","family":"Handayani","given":"Sri","non-dropping-particle":"","parse-names":false,"suffix":""},{"dropping-particle":"","family":"Mandasari","given":"Novianti","non-dropping-particle":"","parse-names":false,"suffix":""}],"container-title":"Jurnal Pendidikan Matematika (JUDIKA EDUCATION)","id":"ITEM-1","issue":"2","issued":{"date-parts":[["2018"]]},"page":"144-151","title":"Pengembangan Lembar Kerja Siswa (LKS) Berbasis Problem Based Learning untuk Meningkatkan Kemampuan Penalaran Matematika","type":"article-journal","volume":"1"},"uris":["http://www.mendeley.com/documents/?uuid=ba5b4061-1cdc-4da2-825a-5070c6272f76","http://www.mendeley.com/documents/?uuid=5c487049-e803-4cd4-bd8c-118d62011452","http://www.mendeley.com/documents/?uuid=b5e643b4-cd6f-4683-ba2f-86d2780a6e02","http://www.mendeley.com/documents/?uuid=c38ea1cc-ecba-4da3-b7c8-5d8942ec3be7"]}],"mendeley":{"formattedCitation":"(Handayani &amp; Mandasari, 2018)","plainTextFormattedCitation":"(Handayani &amp; Mandasari, 2018)","previouslyFormattedCitation":"(Handayani &amp; Mandasari, 2018)"},"properties":{"noteIndex":0},"schema":"https://github.com/citation-style-language/schema/raw/master/csl-citation.json"}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(Handayani &amp; Mandasari, 2018)</w:t>
      </w:r>
      <w:r w:rsidRPr="00D92A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and critical thinking skills</w:t>
      </w:r>
      <w:r>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{"citationItems":[{"id":"ITEM-1","itemData":{"DOI":"10.24127/ajpm.v11i3.5659","ISSN":"2089-8703","abstract":"… untuk dapat berpikir kritis, namun fakta menunjukkan kemampuan bepikir kritis matematis (… potensi umtuk meningkatkan kemampuan berpikir kritis matematis. Kemudian berdasarkan …","author":[{"dropping-particle":"","family":"Suanto","given":"Elfis","non-dropping-particle":"","parse-names":false,"suffix":""},{"dropping-particle":"","family":"Khainingsih","given":"Fadilah Gustin","non-dropping-particle":"","parse-names":false,"suffix":""},{"dropping-particle":"","family":"Hutapea","given":"Nahor Murani","non-dropping-particle":"","parse-names":false,"suffix":""}],"container-title":"AKSIOMA: Jurnal Program Studi Pendidikan Matematika","id":"ITEM-1","issue":"3","issued":{"date-parts":[["2022"]]},"page":"1805","title":"Pengembangan Lkpd-El Berbasis Problem Based Learning Berkonteks Budaya Melayu Untuk Meningkatkan Kemampuan Berpikir Kritis Matematis","type":"article-journal","volume":"11"},"uris":["http://www.mendeley.com/documents/?uuid=8ad29018-343d-49c2-97ec-d036a11c5d1a","http://www.mendeley.com/documents/?uuid=2e716ad5-b278-4836-8aa0-16248d12952e","http://www.mendeley.com/documents/?uuid=64a2a395-46a5-463e-b8da-1ae4e7f5b524","http://www.mendeley.com/documents/?uuid=a07df854-e416-46f0-858e-ae7b3a3ad14b"]}],"mendeley":{"formattedCitation":"(Suanto et al., 2022)","plainTextFormattedCitation":"(Suanto et al., 2022)","previouslyFormattedCitation":"(Suanto et al.,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(Suanto et al., 2022)</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Therefore, when creating student worksheets, it is essential to include well-structured content and tasks related to the material.</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Based on observations and interviews conducted with teachers at MTs Nurul Huda NgadirejoBlitar, it was revealed that teachers had already created worksheets, but these worksheets consisted mainly of content and questions. The existing worksheets did not incorporate images related to local culture or objects encountered by students in their daily lives. Observations in MTs Nurul Huda NgadirejoBlitar, grade VIII, showed that students faced difficulties in learning flat surface spatial geometry materials. In interviews with teachers at SDN 1 Blimbing, it was found that teachers used government-provided textbooks in their teaching.</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Flat surface spatial geometry is an abstract branch of geometry. Therefore, it requires a teaching approach that can relate geometry to everyday life to make it more relevant for students. One approach that can be used in teaching is the Realistic Mathematics Approach. This approach provides students with the opportunity to construct mathematical concepts based on their everyday experiences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 xml:space="preserve">ADDIN CSL_CITATION {"citationItems":[{"id":"ITEM-1","itemData":{"DOI":"10.17605/OSF.IO/YPRA8","ISBN":"2022.103505","abstract":"Given the importance of analogical reasoning to bootstrapping children's understanding of the world, why is this ability so challenging for children? Two common sources of error have been implicated: 1) children's inability to prioritize relational information during initial problem solving; 2) children's inability to disengage from salient distractors. Here, we use eye tracking to examine children and adults' looking patterns when solving scene analogies, finding that children and adults attended differently to distractors, and that this attention predicted performance. These results provide the most direct evidence to date that feature based distraction is an important way children and adults differ during early analogical reasoning. In contrast to recent work using propositional analogies, we find no differences in children and adults' prioritization of relational information during problem solving, and while there are some differences in general attentional strategies across age groups, neither pri-oritization of relational information nor attentional strategy predict successful problem solving. Together, our results suggest that analogy problem format should be taken into account when considering developmental factors in children's analogical reasoning.","author":[{"dropping-particle":"","family":"Guarino","given":"Katharine F","non-dropping-particle":"","parse-names":false,"suffix":""},{"dropping-particle":"","family":"Wakefield","given":"Elizabeth M","non-dropping-particle":"","parse-names":false,"suffix":""},{"dropping-particle":"","family":"Morrison","given":"Robert G","non-dropping-particle":"","parse-names":false,"suffix":""},{"dropping-particle":"","family":"Richland","given":"Lindsey E","non-dropping-particle":"","parse-names":false,"suffix":""}],"container-title":"Acta Psychologica","id":"ITEM-1","issued":{"date-parts":[["2022"]]},"title":"NC-ND license Why do children struggle on analogical reasoning tasks? Considering the role of problem format by measuring visual attention </w:instrText>
      </w:r>
      <w:r w:rsidRPr="00D92A35">
        <w:rPr>
          <w:rFonts w:ascii="MS Mincho" w:eastAsia="MS Mincho" w:hAnsi="MS Mincho" w:cs="MS Mincho" w:hint="eastAsia"/>
          <w:sz w:val="24"/>
          <w:szCs w:val="24"/>
          <w:lang w:val="en-US"/>
        </w:rPr>
        <w:instrText>☆</w:instrText>
      </w:r>
      <w:r w:rsidRPr="00D92A35">
        <w:rPr>
          <w:rFonts w:ascii="Times New Roman" w:eastAsia="Times New Roman" w:hAnsi="Times New Roman" w:cs="Times New Roman"/>
          <w:sz w:val="24"/>
          <w:szCs w:val="24"/>
          <w:lang w:val="en-US"/>
        </w:rPr>
        <w:instrText>","type":"article-journal","volume":"224"},"uris":["http://www.mendeley.com/documents/?uuid=0c327e82-3690-3d8c-b4e0-1ed481991450","http://www.mendeley.com/documents/?uuid=ebf7f294-acb2-4eac-9d13-8ea0b4db772a"]}],"mendeley":{"formattedCitation":"(Guarino et al., 2022)","plainTextFormattedCitation":"(Guarino et al., 2022)","previouslyFormattedCitation":"(Guarino et al.,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(Guarino et al., 2022)</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xml:space="preserve">. </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More meaningful mathematics education can capture the relationship between learning experiences and the local cultural environment. The introduction of culture can be integrated into teaching by utilizing the local environment in instructional materials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{"citationItems":[{"id":"ITEM-1","itemData":{"abstract":"Pembelajaran matematika di tingkat sekolah dasar merupakan hal yang menarik untuk diteliti. Hal ini disebabkan karena materi matematika yang menuntut anak bernalar secara matematis. Banyak model pembelajaran yang dikenalkan kepada siswa, akan tetapi tidak sesuai dengan kondisi budaya sekitar. Budaya merupakan sesuatu yang dekat dan nyata dalam kehidupan siswa sehingga pembelajaran matematika berbasis budaya akan mudah dipahami oleh siswa. Penelitian ini bertujuan untuk mengembangkan LKS dengan pendekatan matematika realistik berbasis etnomatematika pada materi bangun datar segitiga di jenjang sekolah dasar yang layak yaitu memenuhi kriteria valid, praktis, dan efektif. LKS yang dikembangkan menggunakan unsur etnomatematika berupa batik khas Pekalongan. Penelitian ini merupakan penelitian research and development yang meliputi pendefinisian, perancangan, pengembangan, dan penyebaran. Metode pengembangan yang digunakan adalah metode 4D yang meliputi define, design, develop, dan disseminate. Teknik pengumpulan data dilakukan dengan metode observasi, wawancara, kuesioner, tes, dan dokumentasi. Hasil penelitian ini menunjukan bahwa LKS dengan pembelajaran matematika realistik berbasis etnomatematika yang telah dikembangkan layak digunakan karena telah memenuhi kriteria valid dengan persentase skor validasi sebesar 78,1%, memenuhi kriteria praktis berdasarkan wawancara dengan guru, dan serta memenuhi kriteria efektif dengan rata-rata nilai hasil belajar 80 yang mana termasuk dalam kategori baik.","author":[{"dropping-particle":"","family":"Salafudin","given":"","non-dropping-particle":"","parse-names":false,"suffix":""},{"dropping-particle":"","family":"Sholehuddin","given":"M Sugeng","non-dropping-particle":"","parse-names":false,"suffix":""},{"dropping-particle":"","family":"Sholikhah","given":"Alimatus","non-dropping-particle":"","parse-names":false,"suffix":""},{"dropping-particle":"","family":"Sari","given":"Nurul Husnah Mustika","non-dropping-particle":"","parse-names":false,"suffix":""}],"container-title":"Jurnal Phenomenon","id":"ITEM-1","issue":"1","issued":{"date-parts":[["2022"]]},"page":"77-89","title":"Ethnomathematics in Elementary School Pengembangan LKS dengan Pembelajaran Matematika Realistik","type":"article-journal","volume":"12"},"uris":["http://www.mendeley.com/documents/?uuid=1bdb2ff3-9d5f-4fe5-8776-ad778ec92a55","http://www.mendeley.com/documents/?uuid=a519e7cd-f6e3-4d24-b078-5ac377f60b8d"]}],"mendeley":{"formattedCitation":"(Salafudin et al., 2022)","plainTextFormattedCitation":"(Salafudin et al., 2022)","previouslyFormattedCitation":"(Salafudin et al.,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(Salafudin et al., 2022)</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The connection between mathematics and daily life or culture is known as ethnomathematics</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{"citationItems":[{"id":"ITEM-1","itemData":{"abstract":"This paper discusses 'ethnomathematics,' which is the idea that cultures conceive of numbers and computation differently; D'Ambrosio suggests that this should be taken into account when designing courses and making instructional choices. Frim the paper: \"Making a bridge between anthropologists and historians of culture and mathematicians is an important step towards recognizing that different modes of thought may lead to different forms of mathematics.\" (p. 195 in 'Classics')","author":[{"dropping-particle":"","family":"D'Ambrosio","given":"Ubiratan","non-dropping-particle":"","parse-names":false,"suffix":""}],"container-title":"For the Learning of Mathematics","id":"ITEM-1","issue":"February 1985","issued":{"date-parts":[["1985"]]},"page":"44-48 (in 'Classics')","title":"Ethnomathematics and Its Place in the History and Pedagogy of Mathematics","type":"article-journal","volume":"5"},"uris":["http://www.mendeley.com/documents/?uuid=71b7f92b-b9d1-408a-903e-39bbc7642ab8"]}],"mendeley":{"formattedCitation":"(D’Ambrosio, 1985)","plainTextFormattedCitation":"(D’Ambrosio, 1985)","previouslyFormattedCitation":"(D’Ambrosio, 1985)"},"properties":{"noteIndex":0},"schema":"https://github.com/citation-style-language/schema/raw/master/csl-citation.json"}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(D’Ambrosio, 1985)</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One cultural element that can be linked to flat surface spatial geometry, particularly, is temples. In East Java, specifically in Blitar, there is a Majapahit Kingdom heritage temple called Candi Penataran. The temple's architecture, constituent stones, and ornaments contain geometric concepts</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{"citationItems":[{"id":"ITEM-1","itemData":{"abstract":"… Candi Penataran yaitu konsep bangun datar dan bangun ruang. Konsep bangun datar yang terdapat pada bangunan Candi Penataran yaitu … Sedangkan konsep bangun ruang yang terdapat pada bangunan Candi Penataran yaitu kubus, balok, prisma segitiga sembarang, …","author":[{"dropping-particle":"","family":"Chandra","given":"F","non-dropping-particle":"","parse-names":false,"suffix":""}],"container-title":"Skripsi","id":"ITEM-1","issued":{"date-parts":[["2021"]]},"title":"Eksplorasi bangun datar dan bangun ruang pada bangunan Candi Penataran di Kabupaten Blitar","type":"article-journal"},"uris":["http://www.mendeley.com/documents/?uuid=cb478938-4cfd-485c-aec8-596f27a67858","http://www.mendeley.com/documents/?uuid=389f5c3b-a625-4b4b-9184-5e3141ffaba6","http://www.mendeley.com/documents/?uuid=98c64619-103b-42e0-afbb-d42aa11ccc60","http://www.mendeley.com/documents/?uuid=d01546fc-6b34-4c03-94df-fa77391b4df8"]},{"id":"ITEM-2","itemData":{"DOI":"10.24042/ijsme.v3i2.6718","abstract":"This research was a qualitative research with an ethnographic approach. Data obtained through observation, interview, literacy study, and documentation with Triangulation Method as data validity. This research examined the mathematical concepts of cultural elements, especially in the building of Bale Agung, Pendhopo Teras, Angkatahun Temple, Naga Temple, Induk Temple and Palah Inscription. The cultural elements studied were also in the form of technology systems used, religion, arts, language and social organization. Based on the results of the study, it was found that there were mathematical concepts that were applied to these cultural buildings, these concepts were in the form of Cuboid and Quadrilateral Prism, Numbers and Number Symbols, Geometry Transformation (Translation and Reflection), and Probability. The building at Candi Panataran can be an object of learning in school for all levels (Primary and Secondary school).","author":[{"dropping-particle":"","family":"Munthahana","given":"Jayanti","non-dropping-particle":"","parse-names":false,"suffix":""},{"dropping-particle":"","family":"Budiarto","given":"Mega Teguh","non-dropping-particle":"","parse-names":false,"suffix":""}],"container-title":"Indonesian Journal of Science and Mathematics Education","id":"ITEM-2","issue":"2","issued":{"date-parts":[["2020"]]},"page":"196-209","title":"Ethnomathematics Exploration in Panataran Temple and Its Implementation in Learning","type":"article-journal","volume":"3"},"uris":["http://www.mendeley.com/documents/?uuid=bfebf66c-4d27-4176-8389-6d18bdefbced"]}],"mendeley":{"formattedCitation":"(F. Chandra, 2021; Munthahana &amp; Budiarto, 2020)","manualFormatting":"(Chandra, 2021; Munthahana &amp; Budiarto, 2020)","plainTextFormattedCitation":"(F. Chandra, 2021; Munthahana &amp; Budiarto, 2020)","previouslyFormattedCitation":"(F. Chandra, 2021; Munthahana &amp; Budiarto, 2020)"},"properties":{"noteIndex":0},"schema":"https://github.com/citation-style-language/schema/raw/master/csl-citation.json"}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(Chandra, 2021; Munthahana &amp; Budiarto, 2020)</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Geometric concepts found in the architecture of Candi Penataran include cubes, rectangular prisms, arbitrary triangular prisms, isosceles triangular prisms, frustum of rectangular pyramids, rhombus-based prisms, and cylinders The study by</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{"citationItems":[{"id":"ITEM-1","itemData":{"DOI":"10.24042/ijsme.v3i2.6718","abstract":"This research was a qualitative research with an ethnographic approach. Data obtained through observation, interview, literacy study, and documentation with Triangulation Method as data validity. This research examined the mathematical concepts of cultural elements, especially in the building of Bale Agung, Pendhopo Teras, Angkatahun Temple, Naga Temple, Induk Temple and Palah Inscription. The cultural elements studied were also in the form of technology systems used, religion, arts, language and social organization. Based on the results of the study, it was found that there were mathematical concepts that were applied to these cultural buildings, these concepts were in the form of Cuboid and Quadrilateral Prism, Numbers and Number Symbols, Geometry Transformation (Translation and Reflection), and Probability. The building at Candi Panataran can be an object of learning in school for all levels (Primary and Secondary school).","author":[{"dropping-particle":"","family":"Munthahana","given":"Jayanti","non-dropping-particle":"","parse-names":false,"suffix":""},{"dropping-particle":"","family":"Budiarto","given":"Mega Teguh","non-dropping-particle":"","parse-names":false,"suffix":""}],"container-title":"Indonesian Journal of Science and Mathematics Education","id":"ITEM-1","issue":"2","issued":{"date-parts":[["2020"]]},"page":"196-209","title":"Ethnomathematics Exploration in Panataran Temple and Its Implementation in Learning","type":"article-journal","volume":"3"},"uris":["http://www.mendeley.com/documents/?uuid=bfebf66c-4d27-4176-8389-6d18bdefbced"]}],"mendeley":{"formattedCitation":"(Munthahana &amp; Budiarto, 2020)","manualFormatting":"Munthahana &amp; Budiarto (2020)","plainTextFormattedCitation":"(Munthahana &amp; Budiarto, 2020)","previouslyFormattedCitation":"(Munthahana &amp; Budiarto, 2020)"},"properties":{"noteIndex":0},"schema":"https://github.com/citation-style-language/schema/raw/master/csl-citation.json"}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Munthahana &amp; Budiarto (2020)</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also identified mathematical concepts present in Candi Penataran, such as spatial structure and geometric transformations.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Currently, several researchers have developed flat surface spatial geometry worksheets based on culture</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{"citationItems":[{"id":"ITEM-1","itemData":{"DOI":"10.31004/jptam.v5i3.2452","ISSN":"2614-6754","abstract":"Penelitian ini bertujuan untuk melihat karakteristik Lembar Kerja Peserta Didik (LKPD) berbasis etnomatematika pada materi bangun ruang sisi datar kelas VIII SMP N 11 Tapung. Krakteristik LKPD yang diukur adalah kevalidan, kepraktisan dan kefektivan. Penelitian ini merupakan jenis penelitian pengembangan dengan menggunakan model pengembangan Plomp. Produk yang dikembangkan adalah Lembar Kerja Peserta Didik (LKPD) berbasis etnomatematika pada materi bangun ruang sisi datar kelas VIII. Subjek uji coba pada penelitian ini adalah ahli isi dan kegrafikan merupakan dosen ahli dibidangnya, ahli bahasa dan kebudayaan merupakan dosen ahli dibidangnya serta peserta didik siswa kelas VIII SMP Negeri 11 Tapung. Penentuan subjek peserta didik dilakukan secara random sampling, yang terdiri dari 9 orang untuk uji perorangan dan uji kelompok kecil, serta 16 peserta didik untuk uji lapangan. Teknik pengumpulan data menggunakan angket, angket ini digunakan untuk menilai kepraktisan Lembar Kerja Peserta Didik (LKPD) berbasis etnomatematika. Hasil penelitian menunjukan bahwa, penilaian kevalidan oleh validator isi dan kegrafikan mencapai 85,71% dan penilaian oleh validator bahasa dan kebudayaan mencapai 93,28%, sehingga Lembar Kerja Pesrta Didik ini telah dinyatakan sangat valid oleh validator. Untuk penilaian kepraktisan Lembar Kerja Peserta didik pada tahap perorangan mencapai 83,5% dan pada tahap kelompok kecil mencapai 86,84%, hasil pada tahap perorangan dan kelompok kecil menunjukan Lembar Kerja Peserta Didik (LKPD) ini telah dinyatakan praktis digunakan. Pada hasil penilaian keefektivan diperoleh dari nilai pretest dan posttest, dari hasil uji Paired Sample Test diperoleh sig.(2-tailed) yang bernilai .000, dimana jika sig.(2-tailed) &lt; 0,05 maka terdapat pengaruh pada tindakan yang diberikan.\r  ","author":[{"dropping-particle":"","family":"Astuti","given":"Astuti","non-dropping-particle":"","parse-names":false,"suffix":""},{"dropping-particle":"","family":"Zulfah","given":"Zulfah","non-dropping-particle":"","parse-names":false,"suffix":""},{"dropping-particle":"","family":"Rian","given":"Dicky","non-dropping-particle":"","parse-names":false,"suffix":""}],"container-title":"Jurnal Pendidikan Tambusai","id":"ITEM-1","issue":"3","issued":{"date-parts":[["2021"]]},"page":"9222-9231","title":"Pengembangan Lembar Kerja Peserta Didik (LKPD) Berbasis Etnomatematika pada Materi Bangun Ruang Sisi Datar Kelas VIII SMP Negeri 11 Tapung","type":"article-journal","volume":"5"},"uris":["http://www.mendeley.com/documents/?uuid=cc338232-9578-4310-b2dd-00701ab47263","http://www.mendeley.com/documents/?uuid=d431ac5e-f1da-4f70-99bd-77e20395fea7","http://www.mendeley.com/documents/?uuid=4476b295-dbdf-46db-91ae-4dce113c687a","http://www.mendeley.com/documents/?uuid=480b410e-6084-440b-bc9d-5e3650283399","http://www.mendeley.com/documents/?uuid=1b2e9d27-09cf-4ea3-a593-96dcba597d35","http://www.mendeley.com/documents/?uuid=5afb061c-b2a8-4433-9f91-45b80807de4d"]},{"id":"ITEM-2","itemData":{"author":[{"dropping-particle":"","family":"Noveno","given":"Cristhoper","non-dropping-particle":"","parse-names":false,"suffix":""},{"dropping-particle":"","family":"Putra","given":"Ambertaso","non-dropping-particle":"","parse-names":false,"suffix":""}],"id":"ITEM-2","issue":"2","issued":{"date-parts":[["2022"]]},"page":"144-152","title":"Pengembangan Lembar Kerja Siswa Etnomatematika Jajanan Pasar Tradisional Kota Pontianak Pada Materi Bangun Ruang Sisi Datar","type":"article-journal","volume":"1"},"uris":["http://www.mendeley.com/documents/?uuid=26e1e1d2-8859-4233-9c09-08ec898c660a","http://www.mendeley.com/documents/?uuid=4a4406cb-a642-405e-bf8d-3e4f27dd0080","http://www.mendeley.com/documents/?uuid=8b30c493-6d40-4bcb-844a-fb5dd3289053","http://www.mendeley.com/documents/?uuid=7d3f2745-57da-4913-acd2-c2ce08cc3deb"]},{"id":"ITEM-3","itemData":{"abstract":"… sangat valid dan uji kepraktisan menghasilkan rata-rata total kepraktisan sebesar 3,17 … ajar LKPD yang di kembangkan sangat valid dan praktis. Sehingga bahan ajar LKPD dapat …","author":[{"dropping-particle":"","family":"Septiani","given":"N","non-dropping-particle":"","parse-names":false,"suffix":""},{"dropping-particle":"","family":"Hidayah","given":"N","non-dropping-particle":"","parse-names":false,"suffix":""}],"container-title":"Konferensi Ilmiah Pendidikan","id":"ITEM-3","issued":{"date-parts":[["2022"]]},"page":"87-100","title":"Pengembangan LKPD dengan Pendekatan PMRI pada Materi Bangun Ruang Sisi Datar Konteks Bangunan Bersejarah Lawang Sewu","type":"article-journal","volume":"3"},"uris":["http://www.mendeley.com/documents/?uuid=6b538bec-02ba-4933-abed-cd9c745527fe","http://www.mendeley.com/documents/?uuid=e82ef15c-da8a-4d49-ae78-51050058b5fc","http://www.mendeley.com/documents/?uuid=9bdd601f-3c84-46f5-b145-5215e1e3e9d4","http://www.mendeley.com/documents/?uuid=3f1a39c9-52f8-488d-a6ac-8344c2c1a650"]},{"id":"ITEM-4","itemData":{"DOI":"10.31539/judika.v2i2.887","ISSN":"2620-732X","abstract":"The purpose of this study was to develop student work ethics-oriented student worksheets based on guided discoveries on the material of flat side space and to find out the quality of worksheets developed in terms of validity, practicality and potential effects. The method, this research is Research and Dependency (R&amp;D), that is development research that refers to a modified 4-D development model. The instruments used to measure the quality of worksheets developed include validation sheets, practicality questionnaires, walkthroughs and tests. Worksheets that are developed are valid based on validation sheets by experts and are practical based on a practical questionnaire. The potential effects of worksheets developed can be seen from the activities and understanding of students in working on the problems given to the worksheets. The results showed that: (1) the quality of worksheets seen from the aspect of validity included in the valid category with an average score of 3.18; (2) the quality of worksheets seen from the practical aspect is categorized practically with an average score of 3.24; and (3) worksheets have a potential effect on student learning outcomes where 20 students (76.9%) are included in the category of completion while there are 6 students (23.1%) have not been completed with the Minimum Learning Completion (KBM) specified. Conclusion, ethnomatematics-oriented worksheet based on guided discovery developed is declared valid, practical and potential in improving student learning outcomes in the material of flat side spaces.\r Keywords: Ethnomatematics, LKS, Guided Discovery","author":[{"dropping-particle":"","family":"Oktarina","given":"Anggeraini","non-dropping-particle":"","parse-names":false,"suffix":""},{"dropping-particle":"","family":"Luthfiana","given":"Maria","non-dropping-particle":"","parse-names":false,"suffix":""},{"dropping-particle":"","family":"Refianti","given":"Rani","non-dropping-particle":"","parse-names":false,"suffix":""}],"container-title":"Jurnal Pendidikan Matematika (JUDIKA EDUCATION)","id":"ITEM-4","issue":"2","issued":{"date-parts":[["2019"]]},"page":"91-101","title":"Pengembangan Lembar Kerja Siswa (LKS) Etnomatematika Berbasis Penemuan Terbimbing pada Materi Bangun Ruang Sisi Datar","type":"article-journal","volume":"2"},"uris":["http://www.mendeley.com/documents/?uuid=2dbdf5d8-d95e-4600-aa6e-41f83e6c1ccb","http://www.mendeley.com/documents/?uuid=af19f12f-509d-4fb6-9831-8055ee34f92c","http://www.mendeley.com/documents/?uuid=79f5b94b-dd5e-45f0-b059-fd770e4cf81a","http://www.mendeley.com/documents/?uuid=b907eaed-1b35-479f-9804-455013beab0b"]}],"mendeley":{"formattedCitation":"(Astuti et al., 2021; Noveno &amp; Putra, 2022; Oktarina et al., 2019; Septiani &amp; Hidayah, 2022)","plainTextFormattedCitation":"(Astuti et al., 2021; Noveno &amp; Putra, 2022; Oktarina et al., 2019; Septiani &amp; Hidayah, 2022)","previouslyFormattedCitation":"(Astuti et al., 2021; Noveno &amp; Putra, 2022; Oktarina et al., 2019; Septiani &amp; Hidayah,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(Astuti et al., 2021; Noveno &amp; Putra, 2022; Oktarina et al., 2019; Septiani &amp; Hidayah, 2022)</w:t>
      </w:r>
      <w:r w:rsidRPr="00D92A35">
        <w:rPr>
          <w:rFonts w:ascii="Times New Roman" w:eastAsia="Times New Roman" w:hAnsi="Times New Roman" w:cs="Times New Roman"/>
          <w:sz w:val="24"/>
          <w:szCs w:val="24"/>
        </w:rPr>
        <w:fldChar w:fldCharType="end"/>
      </w:r>
      <w:r w:rsidRPr="00D92A35">
        <w:rPr>
          <w:rFonts w:ascii="Times New Roman" w:eastAsia="Times New Roman" w:hAnsi="Times New Roman" w:cs="Times New Roman"/>
          <w:sz w:val="24"/>
          <w:szCs w:val="24"/>
          <w:lang w:val="en-US"/>
        </w:rPr>
        <w:t>. The cultural context used in the development of worksheets is adapted to the local culture of each researcher.</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{"citationItems":[{"id":"ITEM-1","itemData":{"DOI":"10.31004/jptam.v5i3.2452","ISSN":"2614-6754","abstract":"Penelitian ini bertujuan untuk melihat karakteristik Lembar Kerja Peserta Didik (LKPD) berbasis etnomatematika pada materi bangun ruang sisi datar kelas VIII SMP N 11 Tapung. Krakteristik LKPD yang diukur adalah kevalidan, kepraktisan dan kefektivan. Penelitian ini merupakan jenis penelitian pengembangan dengan menggunakan model pengembangan Plomp. Produk yang dikembangkan adalah Lembar Kerja Peserta Didik (LKPD) berbasis etnomatematika pada materi bangun ruang sisi datar kelas VIII. Subjek uji coba pada penelitian ini adalah ahli isi dan kegrafikan merupakan dosen ahli dibidangnya, ahli bahasa dan kebudayaan merupakan dosen ahli dibidangnya serta peserta didik siswa kelas VIII SMP Negeri 11 Tapung. Penentuan subjek peserta didik dilakukan secara random sampling, yang terdiri dari 9 orang untuk uji perorangan dan uji kelompok kecil, serta 16 peserta didik untuk uji lapangan. Teknik pengumpulan data menggunakan angket, angket ini digunakan untuk menilai kepraktisan Lembar Kerja Peserta Didik (LKPD) berbasis etnomatematika. Hasil penelitian menunjukan bahwa, penilaian kevalidan oleh validator isi dan kegrafikan mencapai 85,71% dan penilaian oleh validator bahasa dan kebudayaan mencapai 93,28%, sehingga Lembar Kerja Pesrta Didik ini telah dinyatakan sangat valid oleh validator. Untuk penilaian kepraktisan Lembar Kerja Peserta didik pada tahap perorangan mencapai 83,5% dan pada tahap kelompok kecil mencapai 86,84%, hasil pada tahap perorangan dan kelompok kecil menunjukan Lembar Kerja Peserta Didik (LKPD) ini telah dinyatakan praktis digunakan. Pada hasil penilaian keefektivan diperoleh dari nilai pretest dan posttest, dari hasil uji Paired Sample Test diperoleh sig.(2-tailed) yang bernilai .000, dimana jika sig.(2-tailed) &lt; 0,05 maka terdapat pengaruh pada tindakan yang diberikan.\r  ","author":[{"dropping-particle":"","family":"Astuti","given":"Astuti","non-dropping-particle":"","parse-names":false,"suffix":""},{"dropping-particle":"","family":"Zulfah","given":"Zulfah","non-dropping-particle":"","parse-names":false,"suffix":""},{"dropping-particle":"","family":"Rian","given":"Dicky","non-dropping-particle":"","parse-names":false,"suffix":""}],"container-title":"Jurnal Pendidikan Tambusai","id":"ITEM-1","issue":"3","issued":{"date-parts":[["2021"]]},"page":"9222-9231","title":"Pengembangan Lembar Kerja Peserta Didik (LKPD) Berbasis Etnomatematika pada Materi Bangun Ruang Sisi Datar Kelas VIII SMP Negeri 11 Tapung","type":"article-journal","volume":"5"},"uris":["http://www.mendeley.com/documents/?uuid=5afb061c-b2a8-4433-9f91-45b80807de4d","http://www.mendeley.com/documents/?uuid=1b2e9d27-09cf-4ea3-a593-96dcba597d35","http://www.mendeley.com/documents/?uuid=d431ac5e-f1da-4f70-99bd-77e20395fea7","http://www.mendeley.com/documents/?uuid=cc338232-9578-4310-b2dd-00701ab47263"]}],"mendeley":{"formattedCitation":"(Astuti et al., 2021)","manualFormatting":"Astuti et al. (2021)","plainTextFormattedCitation":"(Astuti et al., 2021)","previouslyFormattedCitation":"(Astuti et al., 2021)"},"properties":{"noteIndex":0},"schema":"https://github.com/citation-style-language/schema/raw/master/csl-citation.json"}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Astuti et al. (2021)</w:t>
      </w:r>
      <w:r w:rsidRPr="00D92A35">
        <w:rPr>
          <w:rFonts w:ascii="Times New Roman" w:eastAsia="Times New Roman" w:hAnsi="Times New Roman" w:cs="Times New Roman"/>
          <w:sz w:val="24"/>
          <w:szCs w:val="24"/>
        </w:rPr>
        <w:fldChar w:fldCharType="end"/>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used the context of regional dishes from Medan.</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author":[{"dropping-particle":"","family":"Noveno","given":"Cristhoper","non-dropping-particle":"","parse-names":false,"suffix":""},{"dropping-particle":"","family":"Putra","given":"Ambertaso","non-dropping-particle":"","parse-names":false,"suffix":""}],"id":"ITEM-1","issue":"2","issued":{"date-parts":[["2022"]]},"page":"144-152","title":"Pengembangan Lembar Kerja Siswa Etnomatematika Jajanan Pasar Tradisional Kota Pontianak Pada Materi Bangun Ruang Sisi Datar","type":"article-journal","volume":"1"},"uris":["http://www.mendeley.com/documents/?uuid=7d3f2745-57da-4913-acd2-c2ce08cc3deb","http://www.mendeley.com/documents/?uuid=8b30c493-6d40-4bcb-844a-fb5dd3289053","http://www.mendeley.com/documents/?uuid=4a4406cb-a642-405e-bf8d-3e4f27dd0080","http://www.mendeley.com/documents/?uuid=26e1e1d2-8859-4233-9c09-08ec898c660a"]}],"mendeley":{"formattedCitation":"(Noveno &amp; Putra, 2022)","manualFormatting":"Noveno &amp; Putra (2022)","plainTextFormattedCitation":"(Noveno &amp; Putra, 2022)","previouslyFormattedCitation":"(Noveno &amp; Putra,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Noveno &amp; Putra (2022)</w:t>
      </w:r>
      <w:r w:rsidRPr="00D92A35">
        <w:rPr>
          <w:rFonts w:ascii="Times New Roman" w:eastAsia="Times New Roman" w:hAnsi="Times New Roman" w:cs="Times New Roman"/>
          <w:sz w:val="24"/>
          <w:szCs w:val="24"/>
        </w:rPr>
        <w:fldChar w:fldCharType="end"/>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used the cultural context of traditional market snacks from Pontianak.</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{"citationItems":[{"id":"ITEM-1","itemData":{"DOI":"10.31539/judika.v2i2.887","ISSN":"2620-732X","abstract":"The purpose of this study was to develop student work ethics-oriented student worksheets based on guided discoveries on the material of flat side space and to find out the quality of worksheets developed in terms of validity, practicality and potential effects. The method, this research is Research and Dependency (R&amp;D), that is development research that refers to a modified 4-D development model. The instruments used to measure the quality of worksheets developed include validation sheets, practicality questionnaires, walkthroughs and tests. Worksheets that are developed are valid based on validation sheets by experts and are practical based on a practical questionnaire. The potential effects of worksheets developed can be seen from the activities and understanding of students in working on the problems given to the worksheets. The results showed that: (1) the quality of worksheets seen from the aspect of validity included in the valid category with an average score of 3.18; (2) the quality of worksheets seen from the practical aspect is categorized practically with an average score of 3.24; and (3) worksheets have a potential effect on student learning outcomes where 20 students (76.9%) are included in the category of completion while there are 6 students (23.1%) have not been completed with the Minimum Learning Completion (KBM) specified. Conclusion, ethnomatematics-oriented worksheet based on guided discovery developed is declared valid, practical and potential in improving student learning outcomes in the material of flat side spaces.\r Keywords: Ethnomatematics, LKS, Guided Discovery","author":[{"dropping-particle":"","family":"Oktarina","given":"Anggeraini","non-dropping-particle":"","parse-names":false,"suffix":""},{"dropping-particle":"","family":"Luthfiana","given":"Maria","non-dropping-particle":"","parse-names":false,"suffix":""},{"dropping-particle":"","family":"Refianti","given":"Rani","non-dropping-particle":"","parse-names":false,"suffix":""}],"container-title":"Jurnal Pendidikan Matematika (JUDIKA EDUCATION)","id":"ITEM-1","issue":"2","issued":{"date-parts":[["2019"]]},"page":"91-101","title":"Pengembangan Lembar Kerja Siswa (LKS) Etnomatematika Berbasis Penemuan Terbimbing pada Materi Bangun Ruang Sisi Datar","type":"article-journal","volume":"2"},"uris":["http://www.mendeley.com/documents/?uuid=2dbdf5d8-d95e-4600-aa6e-41f83e6c1ccb","http://www.mendeley.com/documents/?uuid=af19f12f-509d-4fb6-9831-8055ee34f92c","http://www.mendeley.com/documents/?uuid=79f5b94b-dd5e-45f0-b059-fd770e4cf81a","http://www.mendeley.com/documents/?uuid=b907eaed-1b35-479f-9804-455013beab0b"]}],"mendeley":{"formattedCitation":"(Oktarina et al., 2019)","manualFormatting":"Oktarina et al. (2019)","plainTextFormattedCitation":"(Oktarina et al., 2019)","previouslyFormattedCitation":"(Oktarina et al., 2019)"},"properties":{"noteIndex":0},"schema":"https://github.com/citation-style-language/schema/raw/master/csl-citation.json"}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Oktarina et al. (2019)</w:t>
      </w:r>
      <w:r w:rsidRPr="00D92A35">
        <w:rPr>
          <w:rFonts w:ascii="Times New Roman" w:eastAsia="Times New Roman" w:hAnsi="Times New Roman" w:cs="Times New Roman"/>
          <w:sz w:val="24"/>
          <w:szCs w:val="24"/>
        </w:rPr>
        <w:fldChar w:fldCharType="end"/>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used the cultural context of traditional houses from South Sumatra.</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fldChar w:fldCharType="begin" w:fldLock="1"/>
      </w:r>
      <w:r w:rsidRPr="00D92A35">
        <w:rPr>
          <w:rFonts w:ascii="Times New Roman" w:eastAsia="Times New Roman" w:hAnsi="Times New Roman" w:cs="Times New Roman"/>
          <w:sz w:val="24"/>
          <w:szCs w:val="24"/>
          <w:lang w:val="en-US"/>
        </w:rPr>
        <w:instrText>ADDIN CSL_CITATION {"citationItems":[{"id":"ITEM-1","itemData":{"abstract":"… sangat valid dan uji kepraktisan menghasilkan rata-rata total kepraktisan sebesar 3,17 … ajar LKPD yang di kembangkan sangat valid dan praktis. Sehingga bahan ajar LKPD dapat …","author":[{"dropping-particle":"","family":"Septiani","given":"N","non-dropping-particle":"","parse-names":false,"suffix":""},{"dropping-particle":"","family":"Hidayah","given":"N","non-dropping-particle":"","parse-names":false,"suffix":""}],"container-title":"Konferensi Ilmiah Pendidikan","id":"ITEM-1","issued":{"date-parts":[["2022"]]},"page":"87-100","title":"Pengembangan LKPD dengan Pendekatan PMRI pada Materi Bangun Ruang Sisi Datar Konteks Bangunan Bersejarah Lawang Sewu","type":"article-journal","volume":"3"},"uris":["http://www.mendeley.com/documents/?uuid=3f1a39c9-52f8-488d-a6ac-8344c2c1a650","http://www.mendeley.com/documents/?uuid=9bdd601f-3c84-46f5-b145-5215e1e3e9d4","http://www.mendeley.com/documents/?uuid=e82ef15c-da8a-4d49-ae78-51050058b5fc","http://www.mendeley.com/documents/?uuid=6b538bec-02ba-4933-abed-cd9c745527fe"]}],"mendeley":{"formattedCitation":"(Septiani &amp; Hidayah, 2022)","manualFormatting":"Septiani &amp; Hidayah (2022)","plainTextFormattedCitation":"(Septiani &amp; Hidayah, 2022)","previouslyFormattedCitation":"(Septiani &amp; Hidayah, 2022)"},"properties":{"noteIndex":0},"schema":"https://github.com/citation-style-language/schema/raw/master/csl-citation.json"}</w:instrText>
      </w:r>
      <w:r w:rsidRPr="00D92A35">
        <w:rPr>
          <w:rFonts w:ascii="Times New Roman" w:eastAsia="Times New Roman" w:hAnsi="Times New Roman" w:cs="Times New Roman"/>
          <w:sz w:val="24"/>
          <w:szCs w:val="24"/>
          <w:lang w:val="en-US"/>
        </w:rPr>
        <w:fldChar w:fldCharType="separate"/>
      </w:r>
      <w:r w:rsidRPr="00D92A35">
        <w:rPr>
          <w:rFonts w:ascii="Times New Roman" w:eastAsia="Times New Roman" w:hAnsi="Times New Roman" w:cs="Times New Roman"/>
          <w:sz w:val="24"/>
          <w:szCs w:val="24"/>
          <w:lang w:val="en-US"/>
        </w:rPr>
        <w:t>Septiani &amp; Hidayah (2022)</w:t>
      </w:r>
      <w:r w:rsidRPr="00D92A35">
        <w:rPr>
          <w:rFonts w:ascii="Times New Roman" w:eastAsia="Times New Roman" w:hAnsi="Times New Roman" w:cs="Times New Roman"/>
          <w:sz w:val="24"/>
          <w:szCs w:val="24"/>
        </w:rPr>
        <w:fldChar w:fldCharType="end"/>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incorporated the historical building LawangSewu into their teaching materials.</w:t>
      </w:r>
    </w:p>
    <w:p w:rsid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Based on the above explanations, to address the difficulties faced by students in understanding flat surface spatial geometry materials, worksheets will be developed. These student worksheets will be based on the local culture of Candi Penataran. The student worksheets on flat surface spatial geometry integrated with the culture of Candi Penataran will be developed for three educational levels: Elementary School (SD), Junior High School (SMP), and High School (SMA). Therefore, this research is titled "</w:t>
      </w:r>
      <w:r w:rsidRPr="00D92A35">
        <w:rPr>
          <w:rFonts w:ascii="Times New Roman" w:eastAsia="Times New Roman" w:hAnsi="Times New Roman" w:cs="Times New Roman"/>
          <w:b/>
          <w:bCs/>
          <w:sz w:val="24"/>
          <w:szCs w:val="24"/>
          <w:lang w:val="en-US"/>
        </w:rPr>
        <w:t>Development of Student Worksheets on Flat Surface Spatial Geometry Material Based on Candi Penataran to Support Student Learning Outcomes</w:t>
      </w:r>
      <w:r w:rsidRPr="00D92A35">
        <w:rPr>
          <w:rFonts w:ascii="Times New Roman" w:eastAsia="Times New Roman" w:hAnsi="Times New Roman" w:cs="Times New Roman"/>
          <w:sz w:val="24"/>
          <w:szCs w:val="24"/>
          <w:lang w:val="en-US"/>
        </w:rPr>
        <w:t>."</w:t>
      </w:r>
    </w:p>
    <w:p w:rsidR="00FC34FD" w:rsidRPr="00D92A35" w:rsidRDefault="00FC34FD" w:rsidP="00FC34FD">
      <w:pPr>
        <w:spacing w:after="0" w:line="240" w:lineRule="auto"/>
        <w:ind w:firstLine="567"/>
        <w:jc w:val="both"/>
        <w:rPr>
          <w:rFonts w:ascii="Times New Roman" w:eastAsia="Times New Roman" w:hAnsi="Times New Roman" w:cs="Times New Roman"/>
          <w:sz w:val="24"/>
          <w:szCs w:val="24"/>
          <w:lang w:val="en-US"/>
        </w:rPr>
      </w:pP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C32089" w:rsidP="00FC34FD">
      <w:pPr>
        <w:spacing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lastRenderedPageBreak/>
        <w:t xml:space="preserve">METHOD </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This research is a development study (R&amp;D). The research model follows the steps of Richey and Klein with three main stages: planning, production, and evaluation. The study was conducted at An-Nurriyah Islamic Junior High School, Sukun District, Malang City. The first stage of the research is planning, which aims to determine the research objectives, identify learning problems, and the needs of students in understanding flat surface spatial geometry material based on the culture of Candi Penataran in student learning. It also involves formulating strategies for developing student worksheets. The production stage is carried out to design and develop student worksheets based on the culture of Candi Penataran that align with the learning needs and objectives. The evaluation stage is conducted to assess the quality and effectiveness of the student worksheets based on the culture of Candi Penataran in supporting the learning outcomes of junior high school students.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This study involved 18 students in the learning process, utilizing student worksheets on flat surface spatial geometry material based on Candi Penataran. The research provided data collection instruments, including validation sheets for the student worksheets by experts and a set of evaluations (pre-test and post-test). The pre-test and post-test were designed in the form of essay questions tailored to the research needs, consisting of five questions related to flat surface spatial geometry. A subject matter expert reviewed these test questions before they were officially administered to the students. The validity of the student worksheets was determined by calculating the score percentage on the questionnaire through statistical analysis as part of the quantitative data analysis process.</w:t>
      </w:r>
    </w:p>
    <w:p w:rsid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Meanwhile, to measure the learning outcomes of students regarding flat surface spatial geometry material, a comparison was made using the results of the pre-test and post-test, assessed based on the achievement of learning outcome indicators. To assess the effectiveness of the student worksheets in supporting student learning outcomes, the pre-test and post-test data were analyzed using a paired sample t-test and normalized gain test. However, before conducting the t-test analysis, prerequisites were examined, including tests for normality and homogeneity.</w:t>
      </w:r>
    </w:p>
    <w:p w:rsidR="00FC34FD" w:rsidRPr="00D92A35" w:rsidRDefault="00FC34FD" w:rsidP="00FC34FD">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C32089" w:rsidP="00FC34FD">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rsidR="00D92A35" w:rsidRPr="00D92A35" w:rsidRDefault="00D92A35" w:rsidP="00FC34FD">
      <w:pPr>
        <w:spacing w:before="240"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results of the development of culturally-based student worksheets for junior high school students in mathematics education will be explained as follows:</w:t>
      </w:r>
    </w:p>
    <w:p w:rsidR="00D92A35" w:rsidRPr="00B802C6" w:rsidRDefault="00D92A35" w:rsidP="00FC34FD">
      <w:pPr>
        <w:spacing w:after="0" w:line="240" w:lineRule="auto"/>
        <w:jc w:val="both"/>
        <w:rPr>
          <w:rFonts w:ascii="Times New Roman" w:eastAsia="Times New Roman" w:hAnsi="Times New Roman" w:cs="Times New Roman"/>
          <w:b/>
          <w:bCs/>
          <w:i/>
          <w:iCs/>
          <w:sz w:val="24"/>
          <w:szCs w:val="24"/>
          <w:lang w:val="en-US"/>
        </w:rPr>
      </w:pPr>
      <w:r w:rsidRPr="00B802C6">
        <w:rPr>
          <w:rFonts w:ascii="Times New Roman" w:eastAsia="Times New Roman" w:hAnsi="Times New Roman" w:cs="Times New Roman"/>
          <w:b/>
          <w:bCs/>
          <w:i/>
          <w:iCs/>
          <w:sz w:val="24"/>
          <w:szCs w:val="24"/>
          <w:lang w:val="en-US"/>
        </w:rPr>
        <w:t>a. Planning Phase</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first stage is planning, also known as needs analysis. The goal of this stage is to determine and define the requirements for mathematics education at the junior high school level. Determining and defining these requirements begins with an analysis of the objectives. The results of the definition phase are as follows:</w:t>
      </w:r>
    </w:p>
    <w:p w:rsidR="00D92A35" w:rsidRPr="00FC34FD" w:rsidRDefault="00D92A35" w:rsidP="00FC34FD">
      <w:pPr>
        <w:spacing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1) Problem Analysis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The problem analysis aims to understand the initial conditions at MTs Nurul Huda Ngajum Malang, especially in grade IX. What needs to be analyzed is the teaching methods and techniques used by mathematics teachers. The mathematics teachers mentioned to the researcher that the basic mathematical understanding of grade IX students is somewhat lacking. This is reinforced by the daily test score data, which averages below the minimum passing grade (KKM), particularly in geometry. When the researcher asked the mathematics teachers about the reasons for the students' low understanding of basic mathematics, the teachers explained that one of the factors is the students' perception that mathematics is a difficult subject and is not related to everyday life. The researcher continued to inquire about the reasons behind the students' perception that mathematics is difficult, and the teachers explained that the developed student worksheets (LKPD) had not been able to accommodate the academic and emotional needs of the students. Until now, mathematics teaching had been carried out using textbooks provided by the Ministry of Education. The teachers had already </w:t>
      </w:r>
      <w:r w:rsidRPr="00D92A35">
        <w:rPr>
          <w:rFonts w:ascii="Times New Roman" w:eastAsia="Times New Roman" w:hAnsi="Times New Roman" w:cs="Times New Roman"/>
          <w:sz w:val="24"/>
          <w:szCs w:val="24"/>
          <w:lang w:val="en-US"/>
        </w:rPr>
        <w:lastRenderedPageBreak/>
        <w:t>made efforts to actively involve the students in the teaching and learning process. With the development of culture-based geometry LKPD, it is expected to change the students' perception of mathematics, which initially considered it difficult and unrelated to daily life, into something easy and highly relevant to their daily lives. The teaching process begins with the distribution of LKPD to students. The students listen to the material explained by the teacher, referring to the mathematics textbook, followed by question and answer sessions related to the material and concluding with exercises. This affects the students' engagement in the subject, leading to the perception that mathematics and local wisdom are separate entities, with mathematics not addressing cultural aspects, and vice versa.</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Similar to MTs Nurul Huda Ngajum Malang, the teaching of basic mathematics for grade IX students at SMP Islam Annuriyah is also inadequate. This is evidenced by the daily test score data, which averages below the minimum passing grade (KKM), especially in geometry. When the researcher asked the mathematics teachers about the reasons for the students' low understanding of basic mathematics, the teachers explained that one of the factors is the students' background in a pesantren environment, where mathematics is seen as unrelated to everyday life. Additionally, students lack motivation because they find mathematics difficult as santri (students in a pesantren). Furthermore, at SMP Islam Annuriyah, only the provided Student Worksheets (LKS) from the school are used, so innovative learning resources are less accessible to students.</w:t>
      </w:r>
    </w:p>
    <w:p w:rsidR="00D92A35" w:rsidRPr="00FC34FD" w:rsidRDefault="00D92A35" w:rsidP="00FC34FD">
      <w:pPr>
        <w:spacing w:before="240"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2) Curriculum Analysis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Curriculum analysis is crucial in the planning stage of developing culture-based geometry student worksheets. Teachers must be able to determine the appropriate materials to be taught using the developed student worksheets. Components related to the curriculum, particularly subject matter and competencies to be achieved, are considered based on the 2013 curriculum and independent learning curriculum. The characteristics of the independent learning curriculum are implemented to prepare Indonesian generations who have faith, productivity, creativity, innovation, and affective qualities, capable of contributing to community life, the nation, and global civilization. Based on this description, one way to respond to issues in line with the demands and challenges of the independent learning curriculum is to develop culture-based geometry student worksheets aimed at enhancing cognitive and affective abilities in junior high school students.</w:t>
      </w:r>
    </w:p>
    <w:p w:rsidR="00D92A35" w:rsidRPr="00FC34FD" w:rsidRDefault="00D92A35" w:rsidP="00FC34FD">
      <w:pPr>
        <w:spacing w:before="240"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3) Student Worksheet Needs Analysis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step of analyzing and organizing the needs of student worksheets determines the quantity or number of student worksheets required. In this stage, the sequence of student worksheets is determined so that they can be used effectively, systematically, and constructively. Curriculum analysis is carried out by analyzing the curriculum used, namely the independent learning curriculum initiated by the Ministry of Education and published by BSNP (National Center for Education Standards). This is done to ensure that the developed student worksheets can be beneficial to various schools and are not tied to a specific school's curriculum. The aspects analyzed in the curriculum include the expected basic competencies and indicators that students must achieve regarding the topics of flat surface spatial geometry. Once the curriculum analysis has been conducted, the creation of a student worksheet needs map becomes more straightforward. Additionally, in the creation of the student worksheet needs map, an analysis of learning resources to be used in teaching is included.</w:t>
      </w:r>
    </w:p>
    <w:p w:rsidR="00D92A35" w:rsidRPr="00FC34FD" w:rsidRDefault="00D92A35" w:rsidP="00FC34FD">
      <w:pPr>
        <w:spacing w:before="240"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4) Student Analysis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In this stage, the researcher conducted observations and discussions with mathematics teachers. Based on the observations, it was found that the basic knowledge of students at MTs Nurul Huda Ngajum Malang was quite good. However, many students still considered mathematics to be a difficult and irrelevant subject, as they felt it had no connection to their religion and culture. Students also had a tendency to become easily bored with teaching and </w:t>
      </w:r>
      <w:r w:rsidRPr="00D92A35">
        <w:rPr>
          <w:rFonts w:ascii="Times New Roman" w:eastAsia="Times New Roman" w:hAnsi="Times New Roman" w:cs="Times New Roman"/>
          <w:sz w:val="24"/>
          <w:szCs w:val="24"/>
          <w:lang w:val="en-US"/>
        </w:rPr>
        <w:lastRenderedPageBreak/>
        <w:t>learning activities and were less active in seeking various information related to the material being taught. Often, teachers had to repeat the material to ensure that students remembered what they had learned, and the intellectual abilities of the students were quite diverse or heterogeneous due to students at MTs Nurul Huda Ngajum Malang coming from different formal education backgrounds.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Not much different from MTs Nurul Huda Ngajum, students at SMP Islam Annuriyah also had a tendency to become bored with learning activities. They lacked enthusiasm in participating in lessons. One of the factors contributing to this was that students in the pesantren environment had activities from morning until ten at night. Therefore, there was a need for innovation in learning, especially in mathematics, which could be related to culture to improve student learning outcomes. Additionally, students in pesantren environments, with limited opportunities to leave the pesantren, were not fully aware of the cultural aspects related to mathematics in Indonesia.</w:t>
      </w:r>
    </w:p>
    <w:p w:rsidR="00D92A35" w:rsidRPr="00FC34FD" w:rsidRDefault="00D92A35" w:rsidP="00FC34FD">
      <w:pPr>
        <w:spacing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5) Learning Material Analysis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analysis of learning material involves selecting and systematically detailing relevant teaching materials to be used. The teaching material used in this research is geometry, specifically, flat surface spatial geometry, including cubes, rectangular prisms, prisms, and pyramids.</w:t>
      </w:r>
      <w:r w:rsidR="00FC34FD">
        <w:rPr>
          <w:rFonts w:ascii="Times New Roman" w:eastAsia="Times New Roman" w:hAnsi="Times New Roman" w:cs="Times New Roman"/>
          <w:sz w:val="24"/>
          <w:szCs w:val="24"/>
          <w:lang w:val="en-US"/>
        </w:rPr>
        <w:t xml:space="preserve"> </w:t>
      </w:r>
      <w:r w:rsidRPr="00D92A35">
        <w:rPr>
          <w:rFonts w:ascii="Times New Roman" w:eastAsia="Times New Roman" w:hAnsi="Times New Roman" w:cs="Times New Roman"/>
          <w:sz w:val="24"/>
          <w:szCs w:val="24"/>
          <w:lang w:val="en-US"/>
        </w:rPr>
        <w:t>Once the main concept of the material has been analyzed, an outline of the material to be included in the student worksheet is developed. After the material outline is established, indicators and learning objectives for geometry in the eighth grade are formulated.</w:t>
      </w:r>
    </w:p>
    <w:p w:rsidR="00D92A35" w:rsidRPr="00B802C6" w:rsidRDefault="00D92A35" w:rsidP="00FC34FD">
      <w:pPr>
        <w:spacing w:after="0" w:line="240" w:lineRule="auto"/>
        <w:ind w:firstLine="567"/>
        <w:jc w:val="both"/>
        <w:rPr>
          <w:rFonts w:ascii="Times New Roman" w:eastAsia="Times New Roman" w:hAnsi="Times New Roman" w:cs="Times New Roman"/>
          <w:b/>
          <w:bCs/>
          <w:sz w:val="24"/>
          <w:szCs w:val="24"/>
          <w:lang w:val="en-US"/>
        </w:rPr>
      </w:pPr>
    </w:p>
    <w:p w:rsidR="00D92A35" w:rsidRPr="00B802C6" w:rsidRDefault="00D92A35" w:rsidP="00FC34FD">
      <w:pPr>
        <w:spacing w:after="0" w:line="240" w:lineRule="auto"/>
        <w:jc w:val="both"/>
        <w:rPr>
          <w:rFonts w:ascii="Times New Roman" w:eastAsia="Times New Roman" w:hAnsi="Times New Roman" w:cs="Times New Roman"/>
          <w:b/>
          <w:bCs/>
          <w:sz w:val="24"/>
          <w:szCs w:val="24"/>
          <w:lang w:val="en-US"/>
        </w:rPr>
      </w:pPr>
      <w:r w:rsidRPr="00B802C6">
        <w:rPr>
          <w:rFonts w:ascii="Times New Roman" w:eastAsia="Times New Roman" w:hAnsi="Times New Roman" w:cs="Times New Roman"/>
          <w:b/>
          <w:bCs/>
          <w:i/>
          <w:iCs/>
          <w:sz w:val="24"/>
          <w:szCs w:val="24"/>
          <w:lang w:val="en-US"/>
        </w:rPr>
        <w:t>b.</w:t>
      </w:r>
      <w:r w:rsidRPr="00B802C6">
        <w:rPr>
          <w:rFonts w:ascii="Times New Roman" w:eastAsia="Times New Roman" w:hAnsi="Times New Roman" w:cs="Times New Roman"/>
          <w:b/>
          <w:bCs/>
          <w:sz w:val="24"/>
          <w:szCs w:val="24"/>
          <w:lang w:val="en-US"/>
        </w:rPr>
        <w:t xml:space="preserve"> </w:t>
      </w:r>
      <w:r w:rsidRPr="00B802C6">
        <w:rPr>
          <w:rFonts w:ascii="Times New Roman" w:eastAsia="Times New Roman" w:hAnsi="Times New Roman" w:cs="Times New Roman"/>
          <w:b/>
          <w:bCs/>
          <w:i/>
          <w:iCs/>
          <w:sz w:val="24"/>
          <w:szCs w:val="24"/>
          <w:lang w:val="en-US"/>
        </w:rPr>
        <w:t>Production Phase</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Based on the findings of the preliminary study, a design for teaching materials in the form of culture-based geometry student worksheets (LKPD) was developed. The goal of this phase is to prepare a prototype of culture-based geometry LKPD to facilitate student understanding of mathematics in the learning process. This phase includes the following steps:</w:t>
      </w:r>
    </w:p>
    <w:p w:rsidR="00D92A35" w:rsidRPr="00FC34FD" w:rsidRDefault="00D92A35" w:rsidP="00FC34FD">
      <w:pPr>
        <w:spacing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1) Selection of Appropriate Media</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Educational media serves as a tool to effectively transfer material to students so they can understand, receive, and master the material clearly and easily. Media used in the LKPD are aligned with the core competencies, indicators, and main topics. The images presented are adjusted to the characteristics of students' daily lives and Indonesian culture, ensuring that the learning objectives are achieved according to the indicators.</w:t>
      </w:r>
    </w:p>
    <w:p w:rsidR="00D92A35" w:rsidRPr="00FC34FD" w:rsidRDefault="00D92A35" w:rsidP="00FC34FD">
      <w:pPr>
        <w:spacing w:before="240"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2) Format Selection</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Format selection is done by examining various RME-based student worksheet formats that support student learning outcomes in mathematics education. The LKPD culture-based geometry background includes font size 14 for the body text, main titles in Chewy font size 57, sub-chapter titles in Chewy font size 70, images of temples, mathematical illustrations related to students' daily lives associated with Candi Penataran, and other designs to enhance the appearance of the LKPD.</w:t>
      </w:r>
    </w:p>
    <w:p w:rsidR="00D92A35" w:rsidRPr="00FC34FD" w:rsidRDefault="00D92A35" w:rsidP="00FC34FD">
      <w:pPr>
        <w:spacing w:before="240" w:after="0" w:line="240" w:lineRule="auto"/>
        <w:ind w:firstLine="567"/>
        <w:jc w:val="both"/>
        <w:rPr>
          <w:rFonts w:ascii="Times New Roman" w:eastAsia="Times New Roman" w:hAnsi="Times New Roman" w:cs="Times New Roman"/>
          <w:i/>
          <w:iCs/>
          <w:sz w:val="24"/>
          <w:szCs w:val="24"/>
          <w:lang w:val="en-US"/>
        </w:rPr>
      </w:pPr>
      <w:r w:rsidRPr="00FC34FD">
        <w:rPr>
          <w:rFonts w:ascii="Times New Roman" w:eastAsia="Times New Roman" w:hAnsi="Times New Roman" w:cs="Times New Roman"/>
          <w:i/>
          <w:iCs/>
          <w:sz w:val="24"/>
          <w:szCs w:val="24"/>
          <w:lang w:val="en-US"/>
        </w:rPr>
        <w:t>3) Initial LKPD Plan</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In this design stage, the researcher has already created an initial product (prototype) or product design. This stage is conducted to create the culture-based geometry LKPD, focusing on Candi Penataran, and to simulate the use of the model and geometry LKPD in a small-scale setting. After aligning the core competencies with the indicators in the previous stage, the LKPD design is carried out. The structure of the LKPD development in this research is based on Prastowo (2011) and includes the following components:</w:t>
      </w:r>
    </w:p>
    <w:p w:rsidR="00D92A35" w:rsidRPr="00FC34FD" w:rsidRDefault="00D92A35" w:rsidP="00FC34FD">
      <w:pPr>
        <w:pStyle w:val="ListParagraph"/>
        <w:numPr>
          <w:ilvl w:val="0"/>
          <w:numId w:val="8"/>
        </w:numPr>
        <w:spacing w:after="0" w:line="240" w:lineRule="auto"/>
        <w:ind w:left="426" w:hanging="426"/>
        <w:jc w:val="both"/>
        <w:rPr>
          <w:rFonts w:ascii="Times New Roman" w:eastAsia="Times New Roman" w:hAnsi="Times New Roman" w:cs="Times New Roman"/>
          <w:sz w:val="24"/>
          <w:szCs w:val="24"/>
        </w:rPr>
      </w:pPr>
      <w:r w:rsidRPr="00FC34FD">
        <w:rPr>
          <w:rFonts w:ascii="Times New Roman" w:eastAsia="Times New Roman" w:hAnsi="Times New Roman" w:cs="Times New Roman"/>
          <w:sz w:val="24"/>
          <w:szCs w:val="24"/>
        </w:rPr>
        <w:t>Introduction</w:t>
      </w:r>
    </w:p>
    <w:p w:rsidR="00B802C6" w:rsidRDefault="00D92A35" w:rsidP="00B802C6">
      <w:pPr>
        <w:pStyle w:val="ListParagraph"/>
        <w:numPr>
          <w:ilvl w:val="0"/>
          <w:numId w:val="10"/>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Title: Development of Student Worksheets on Flat Surface Spatial Geometry Based on Candi Penataran to Support Student Learning Outcomes</w:t>
      </w:r>
    </w:p>
    <w:p w:rsidR="00D92A35" w:rsidRPr="00B802C6" w:rsidRDefault="00D92A35" w:rsidP="00B802C6">
      <w:pPr>
        <w:pStyle w:val="ListParagraph"/>
        <w:numPr>
          <w:ilvl w:val="0"/>
          <w:numId w:val="10"/>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lastRenderedPageBreak/>
        <w:t>List of Competency Objectives: Includes Core Competencies, Basic Competencies, Indicators, and Learning Objectives.</w:t>
      </w:r>
    </w:p>
    <w:p w:rsidR="00FC34FD" w:rsidRDefault="00D92A35" w:rsidP="00FC34FD">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r w:rsidRPr="00FC34FD">
        <w:rPr>
          <w:rFonts w:ascii="Times New Roman" w:eastAsia="Times New Roman" w:hAnsi="Times New Roman" w:cs="Times New Roman"/>
          <w:sz w:val="24"/>
          <w:szCs w:val="24"/>
        </w:rPr>
        <w:t>Core</w:t>
      </w:r>
    </w:p>
    <w:p w:rsidR="00D92A35" w:rsidRPr="00FC34FD" w:rsidRDefault="00D92A35" w:rsidP="00FC34FD">
      <w:pPr>
        <w:pStyle w:val="ListParagraph"/>
        <w:spacing w:after="0" w:line="240" w:lineRule="auto"/>
        <w:ind w:left="284"/>
        <w:jc w:val="both"/>
        <w:rPr>
          <w:rFonts w:ascii="Times New Roman" w:eastAsia="Times New Roman" w:hAnsi="Times New Roman" w:cs="Times New Roman"/>
          <w:sz w:val="24"/>
          <w:szCs w:val="24"/>
        </w:rPr>
      </w:pPr>
      <w:r w:rsidRPr="00FC34FD">
        <w:rPr>
          <w:rFonts w:ascii="Times New Roman" w:eastAsia="Times New Roman" w:hAnsi="Times New Roman" w:cs="Times New Roman"/>
          <w:sz w:val="24"/>
          <w:szCs w:val="24"/>
        </w:rPr>
        <w:t>The core section of this development model consists of several elements, including:</w:t>
      </w:r>
    </w:p>
    <w:p w:rsidR="00B802C6" w:rsidRDefault="00D92A35" w:rsidP="00B802C6">
      <w:pPr>
        <w:pStyle w:val="ListParagraph"/>
        <w:numPr>
          <w:ilvl w:val="0"/>
          <w:numId w:val="9"/>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Motivation</w:t>
      </w:r>
    </w:p>
    <w:p w:rsidR="00D92A35" w:rsidRPr="00B802C6" w:rsidRDefault="00D92A35" w:rsidP="00B802C6">
      <w:pPr>
        <w:pStyle w:val="ListParagraph"/>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Before getting into the core material, the LKPD provides literacy about Candi PenataranBlitar.</w:t>
      </w:r>
    </w:p>
    <w:p w:rsidR="00B802C6" w:rsidRDefault="00D92A35" w:rsidP="00B802C6">
      <w:pPr>
        <w:pStyle w:val="ListParagraph"/>
        <w:numPr>
          <w:ilvl w:val="0"/>
          <w:numId w:val="9"/>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Material Description</w:t>
      </w:r>
    </w:p>
    <w:p w:rsidR="00B802C6" w:rsidRDefault="00D92A35" w:rsidP="00B802C6">
      <w:pPr>
        <w:pStyle w:val="ListParagraph"/>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The material description provides introductory material for each learning activity. After presenting the introductory material in the culture-based geometry LKPD, constructive mathematical learning steps are presented, starting with presenting a problem where the problem presented is a flat surface spatial geometry problem.</w:t>
      </w:r>
    </w:p>
    <w:p w:rsidR="00B802C6" w:rsidRDefault="00D92A35" w:rsidP="00B802C6">
      <w:pPr>
        <w:pStyle w:val="ListParagraph"/>
        <w:numPr>
          <w:ilvl w:val="0"/>
          <w:numId w:val="9"/>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Learning Activities</w:t>
      </w:r>
    </w:p>
    <w:p w:rsidR="00D92A35" w:rsidRPr="00B802C6" w:rsidRDefault="00D92A35" w:rsidP="00B802C6">
      <w:pPr>
        <w:pStyle w:val="ListParagraph"/>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The learning activities in the culture-based geometry student worksheets integrated into Islamic mathematics education are directed toward RME-based learning. The main learning activities ask students to solve real-life problems from their daily lives.</w:t>
      </w:r>
    </w:p>
    <w:p w:rsidR="00D92A35" w:rsidRPr="00D92A35" w:rsidRDefault="00D92A35" w:rsidP="00B802C6">
      <w:pPr>
        <w:spacing w:after="0" w:line="240" w:lineRule="auto"/>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c) Conclusion</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concluding section in this development model includes a final test. The final test is used to assess student learning outcomes using the culture-based geometry student worksheets. The test consists of questions that cover all learning outcome indicators.</w:t>
      </w:r>
    </w:p>
    <w:p w:rsidR="00D92A35" w:rsidRPr="00D92A35" w:rsidRDefault="00D92A35" w:rsidP="00B802C6">
      <w:pPr>
        <w:spacing w:after="0" w:line="240" w:lineRule="auto"/>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d) Validation Section</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development phase aims to produce LKPD that has been revised based on feedback from expert validators in the fields of content, construction, and language. This stage consists of two parts: 1) Validation conducted by experts on the developed product, and 2) development testing conducted with eighth-grade students at MTs Surya Buana Malang. The steps are as follows:</w:t>
      </w:r>
    </w:p>
    <w:p w:rsidR="00D92A35" w:rsidRPr="00B802C6" w:rsidRDefault="00D92A35" w:rsidP="00B802C6">
      <w:pPr>
        <w:pStyle w:val="ListParagraph"/>
        <w:numPr>
          <w:ilvl w:val="0"/>
          <w:numId w:val="11"/>
        </w:numPr>
        <w:spacing w:after="0" w:line="240" w:lineRule="auto"/>
        <w:jc w:val="both"/>
        <w:rPr>
          <w:rFonts w:ascii="Times New Roman" w:eastAsia="Times New Roman" w:hAnsi="Times New Roman" w:cs="Times New Roman"/>
          <w:sz w:val="24"/>
          <w:szCs w:val="24"/>
        </w:rPr>
      </w:pPr>
      <w:r w:rsidRPr="00B802C6">
        <w:rPr>
          <w:rFonts w:ascii="Times New Roman" w:eastAsia="Times New Roman" w:hAnsi="Times New Roman" w:cs="Times New Roman"/>
          <w:sz w:val="24"/>
          <w:szCs w:val="24"/>
        </w:rPr>
        <w:t>Validation by Experts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Validation is conducted to assess the suitability of a research instrument. In this research, the research instrument being validated includes the content, language, design, teaching approach, Islamic aspects, practicality, and the test instrument itself. The LKPD is validated by one content expert, Dr. PatmaSopamena, M.Pd.I, M.Pd.; one teaching expert, Dr. PatmaSopamena, M.Pd.I, M.Pd.; one design expert, Ibrahim Sani Ali Manggala, M.Pd.; one Islamic expert, Budi PrasetyoMargono, M.Pd.; one language expert, Mohammad KhikamZahidi, M.Pd.; and one practitioner, Faizal Chanda, S.Pd. Additionally, the test instrument in this research is validated by Prof. Dr. H. Turmudi, M.Si, Ph.D. The goal of this step is to receive feedback and evaluation from experts on the LKPD that has been designed. Subsequently, the feedback and suggestions from the validators are used to revise the first prototype. Improvements to the first prototype are based on the feedback and guidance of the validators, leading to the creation of the second prototype. The evaluation of the LKPD involves providing the LKPD materials that have been developed, along with a LKPD feasibility assessment sheet. The evaluation of the LKPD, including the first prototype and the second prototype, is conducted in two stages.</w:t>
      </w:r>
    </w:p>
    <w:p w:rsidR="00D92A35" w:rsidRPr="00D92A35" w:rsidRDefault="00D92A35" w:rsidP="00B802C6">
      <w:pPr>
        <w:spacing w:before="240" w:after="0" w:line="240" w:lineRule="auto"/>
        <w:jc w:val="center"/>
        <w:rPr>
          <w:rFonts w:ascii="Times New Roman" w:eastAsia="Times New Roman" w:hAnsi="Times New Roman" w:cs="Times New Roman"/>
          <w:sz w:val="24"/>
          <w:szCs w:val="24"/>
        </w:rPr>
      </w:pPr>
      <w:r w:rsidRPr="00D92A35">
        <w:rPr>
          <w:rFonts w:ascii="Times New Roman" w:eastAsia="Times New Roman" w:hAnsi="Times New Roman" w:cs="Times New Roman"/>
          <w:sz w:val="24"/>
          <w:szCs w:val="24"/>
        </w:rPr>
        <w:t>Table 1. Validation Results of Student Worksheets and Instruments</w:t>
      </w:r>
    </w:p>
    <w:tbl>
      <w:tblPr>
        <w:tblStyle w:val="TableGrid"/>
        <w:tblW w:w="0" w:type="auto"/>
        <w:jc w:val="center"/>
        <w:tblInd w:w="-549" w:type="dxa"/>
        <w:tblBorders>
          <w:left w:val="none" w:sz="0" w:space="0" w:color="auto"/>
          <w:right w:val="none" w:sz="0" w:space="0" w:color="auto"/>
          <w:insideH w:val="none" w:sz="0" w:space="0" w:color="auto"/>
          <w:insideV w:val="none" w:sz="0" w:space="0" w:color="auto"/>
        </w:tblBorders>
        <w:tblLook w:val="04A0"/>
      </w:tblPr>
      <w:tblGrid>
        <w:gridCol w:w="3191"/>
        <w:gridCol w:w="2643"/>
        <w:gridCol w:w="2964"/>
      </w:tblGrid>
      <w:tr w:rsidR="00D92A35" w:rsidRPr="00D92A35" w:rsidTr="00B802C6">
        <w:trPr>
          <w:jc w:val="center"/>
        </w:trPr>
        <w:tc>
          <w:tcPr>
            <w:tcW w:w="3191" w:type="dxa"/>
            <w:tcBorders>
              <w:top w:val="single" w:sz="4" w:space="0" w:color="auto"/>
              <w:bottom w:val="single" w:sz="4" w:space="0" w:color="auto"/>
            </w:tcBorders>
            <w:shd w:val="clear" w:color="auto" w:fill="D9D9D9" w:themeFill="background1" w:themeFillShade="D9"/>
          </w:tcPr>
          <w:p w:rsidR="00D92A35" w:rsidRPr="00D92A35" w:rsidRDefault="00D92A35" w:rsidP="00FC34FD">
            <w:pPr>
              <w:ind w:firstLine="567"/>
              <w:jc w:val="both"/>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Assessment Aspect</w:t>
            </w:r>
          </w:p>
        </w:tc>
        <w:tc>
          <w:tcPr>
            <w:tcW w:w="2643" w:type="dxa"/>
            <w:tcBorders>
              <w:top w:val="single" w:sz="4" w:space="0" w:color="auto"/>
              <w:bottom w:val="single" w:sz="4" w:space="0" w:color="auto"/>
            </w:tcBorders>
            <w:shd w:val="clear" w:color="auto" w:fill="D9D9D9" w:themeFill="background1" w:themeFillShade="D9"/>
          </w:tcPr>
          <w:p w:rsidR="00D92A35" w:rsidRPr="00D92A35" w:rsidRDefault="00D92A35" w:rsidP="00B802C6">
            <w:pPr>
              <w:jc w:val="both"/>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Assessment Results</w:t>
            </w:r>
          </w:p>
        </w:tc>
        <w:tc>
          <w:tcPr>
            <w:tcW w:w="2964" w:type="dxa"/>
            <w:tcBorders>
              <w:top w:val="single" w:sz="4" w:space="0" w:color="auto"/>
              <w:bottom w:val="single" w:sz="4" w:space="0" w:color="auto"/>
            </w:tcBorders>
            <w:shd w:val="clear" w:color="auto" w:fill="D9D9D9" w:themeFill="background1" w:themeFillShade="D9"/>
          </w:tcPr>
          <w:p w:rsidR="00D92A35" w:rsidRPr="00D92A35" w:rsidRDefault="00D92A35" w:rsidP="00FC34FD">
            <w:pPr>
              <w:ind w:firstLine="567"/>
              <w:jc w:val="both"/>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Category</w:t>
            </w:r>
          </w:p>
        </w:tc>
      </w:tr>
      <w:tr w:rsidR="00D92A35" w:rsidRPr="00D92A35" w:rsidTr="00B802C6">
        <w:trPr>
          <w:jc w:val="center"/>
        </w:trPr>
        <w:tc>
          <w:tcPr>
            <w:tcW w:w="3191" w:type="dxa"/>
            <w:tcBorders>
              <w:top w:val="single" w:sz="4" w:space="0" w:color="auto"/>
            </w:tcBorders>
          </w:tcPr>
          <w:p w:rsidR="00D92A35" w:rsidRPr="00D92A35" w:rsidRDefault="00D92A35" w:rsidP="00FC34FD">
            <w:pPr>
              <w:ind w:firstLine="567"/>
              <w:jc w:val="both"/>
              <w:rPr>
                <w:rFonts w:ascii="Times New Roman" w:eastAsia="Times New Roman" w:hAnsi="Times New Roman" w:cs="Times New Roman"/>
                <w:sz w:val="24"/>
                <w:szCs w:val="24"/>
                <w:lang w:val="en-US"/>
              </w:rPr>
            </w:pPr>
            <w:bookmarkStart w:id="0" w:name="_Hlk147827070"/>
            <w:r w:rsidRPr="00D92A35">
              <w:rPr>
                <w:rFonts w:ascii="Times New Roman" w:eastAsia="Times New Roman" w:hAnsi="Times New Roman" w:cs="Times New Roman"/>
                <w:sz w:val="24"/>
                <w:szCs w:val="24"/>
                <w:lang w:val="en-US"/>
              </w:rPr>
              <w:t>Content</w:t>
            </w:r>
          </w:p>
        </w:tc>
        <w:tc>
          <w:tcPr>
            <w:tcW w:w="2643" w:type="dxa"/>
            <w:tcBorders>
              <w:top w:val="single" w:sz="4" w:space="0" w:color="auto"/>
            </w:tcBorders>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77,94%</w:t>
            </w:r>
          </w:p>
        </w:tc>
        <w:tc>
          <w:tcPr>
            <w:tcW w:w="2964" w:type="dxa"/>
            <w:tcBorders>
              <w:top w:val="single" w:sz="4" w:space="0" w:color="auto"/>
            </w:tcBorders>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Teaching</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97,2%</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Language</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88,63%</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Design</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82,5%</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Islamic Aspect</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100%</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Practitioner</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93,75%</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r w:rsidR="00D92A35" w:rsidRPr="00D92A35" w:rsidTr="00B802C6">
        <w:trPr>
          <w:jc w:val="center"/>
        </w:trPr>
        <w:tc>
          <w:tcPr>
            <w:tcW w:w="3191"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Test Instruments</w:t>
            </w:r>
          </w:p>
        </w:tc>
        <w:tc>
          <w:tcPr>
            <w:tcW w:w="2643"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78,57%</w:t>
            </w:r>
          </w:p>
        </w:tc>
        <w:tc>
          <w:tcPr>
            <w:tcW w:w="2964" w:type="dxa"/>
          </w:tcPr>
          <w:p w:rsidR="00D92A35" w:rsidRPr="00D92A35" w:rsidRDefault="00D92A35" w:rsidP="00FC34FD">
            <w:pPr>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Very Valid</w:t>
            </w:r>
          </w:p>
        </w:tc>
      </w:tr>
    </w:tbl>
    <w:bookmarkEnd w:id="0"/>
    <w:p w:rsidR="00D92A35" w:rsidRPr="00D92A35" w:rsidRDefault="00D92A35" w:rsidP="00B802C6">
      <w:pPr>
        <w:spacing w:before="240"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rPr>
        <w:lastRenderedPageBreak/>
        <w:t>Based on the data above, in Stage 1, the average assessment score falls into the "good" category. However, based on feedback from the validator, some improvements are needed in certain parts of the student worksheets. The improvements made to the student worksheets based on the Stage 1 assessment can be seen in Table 2. After these improvements, a Stage 2 assessment was conducted on the prepared student worksheets, resulting in an average assessment score categorized as "very good." Therefore, it can be concluded that the developed student worksheets for Flat-Sided Space Construction based on Candi Penataran meet the criteria for being highly valid. There is no further need for revisions, and limited testing can proceed. The appearance of the student worksheets before and after the revisions can be seen in Table 2.</w:t>
      </w:r>
    </w:p>
    <w:p w:rsidR="00D92A35" w:rsidRPr="00B802C6" w:rsidRDefault="00B802C6" w:rsidP="00B802C6">
      <w:pPr>
        <w:spacing w:before="240"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Table 2. Student Worksheet</w:t>
      </w:r>
    </w:p>
    <w:tbl>
      <w:tblPr>
        <w:tblW w:w="0" w:type="auto"/>
        <w:jc w:val="center"/>
        <w:tblBorders>
          <w:top w:val="single" w:sz="4" w:space="0" w:color="auto"/>
          <w:bottom w:val="single" w:sz="4" w:space="0" w:color="auto"/>
        </w:tblBorders>
        <w:tblLook w:val="04A0"/>
      </w:tblPr>
      <w:tblGrid>
        <w:gridCol w:w="4195"/>
        <w:gridCol w:w="4243"/>
      </w:tblGrid>
      <w:tr w:rsidR="00D92A35" w:rsidRPr="00D92A35" w:rsidTr="007948E6">
        <w:trPr>
          <w:jc w:val="center"/>
        </w:trPr>
        <w:tc>
          <w:tcPr>
            <w:tcW w:w="4195" w:type="dxa"/>
            <w:tcBorders>
              <w:top w:val="single" w:sz="4" w:space="0" w:color="auto"/>
              <w:bottom w:val="single" w:sz="4" w:space="0" w:color="auto"/>
            </w:tcBorders>
            <w:shd w:val="clear" w:color="auto" w:fill="D9D9D9" w:themeFill="background1" w:themeFillShade="D9"/>
          </w:tcPr>
          <w:p w:rsidR="00D92A35" w:rsidRPr="00B802C6" w:rsidRDefault="00D92A35" w:rsidP="00B802C6">
            <w:pPr>
              <w:spacing w:after="0" w:line="240" w:lineRule="auto"/>
              <w:ind w:firstLine="567"/>
              <w:jc w:val="center"/>
              <w:rPr>
                <w:rFonts w:ascii="Times New Roman" w:eastAsia="Times New Roman" w:hAnsi="Times New Roman" w:cs="Times New Roman"/>
                <w:b/>
                <w:bCs/>
                <w:sz w:val="24"/>
                <w:szCs w:val="24"/>
                <w:lang w:val="en-US"/>
              </w:rPr>
            </w:pPr>
            <w:r w:rsidRPr="00B802C6">
              <w:rPr>
                <w:rFonts w:ascii="Times New Roman" w:eastAsia="Times New Roman" w:hAnsi="Times New Roman" w:cs="Times New Roman"/>
                <w:b/>
                <w:bCs/>
                <w:sz w:val="24"/>
                <w:szCs w:val="24"/>
                <w:lang w:val="en-US"/>
              </w:rPr>
              <w:t>Before Revision</w:t>
            </w:r>
          </w:p>
        </w:tc>
        <w:tc>
          <w:tcPr>
            <w:tcW w:w="4243" w:type="dxa"/>
            <w:tcBorders>
              <w:top w:val="single" w:sz="4" w:space="0" w:color="auto"/>
              <w:bottom w:val="single" w:sz="4" w:space="0" w:color="auto"/>
            </w:tcBorders>
            <w:shd w:val="clear" w:color="auto" w:fill="D9D9D9" w:themeFill="background1" w:themeFillShade="D9"/>
          </w:tcPr>
          <w:p w:rsidR="00D92A35" w:rsidRPr="00B802C6" w:rsidRDefault="00D92A35" w:rsidP="00B802C6">
            <w:pPr>
              <w:spacing w:after="0" w:line="240" w:lineRule="auto"/>
              <w:ind w:firstLine="567"/>
              <w:jc w:val="center"/>
              <w:rPr>
                <w:rFonts w:ascii="Times New Roman" w:eastAsia="Times New Roman" w:hAnsi="Times New Roman" w:cs="Times New Roman"/>
                <w:b/>
                <w:bCs/>
                <w:sz w:val="24"/>
                <w:szCs w:val="24"/>
                <w:lang w:val="en-US"/>
              </w:rPr>
            </w:pPr>
            <w:r w:rsidRPr="00B802C6">
              <w:rPr>
                <w:rFonts w:ascii="Times New Roman" w:eastAsia="Times New Roman" w:hAnsi="Times New Roman" w:cs="Times New Roman"/>
                <w:b/>
                <w:bCs/>
                <w:sz w:val="24"/>
                <w:szCs w:val="24"/>
                <w:lang w:val="en-US"/>
              </w:rPr>
              <w:t>After Revision</w:t>
            </w:r>
          </w:p>
        </w:tc>
      </w:tr>
      <w:tr w:rsidR="00D92A35" w:rsidRPr="00D92A35" w:rsidTr="007948E6">
        <w:trPr>
          <w:jc w:val="center"/>
        </w:trPr>
        <w:tc>
          <w:tcPr>
            <w:tcW w:w="4195" w:type="dxa"/>
            <w:tcBorders>
              <w:top w:val="single" w:sz="4" w:space="0" w:color="auto"/>
            </w:tcBorders>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209800" cy="3038092"/>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60302" t="14130" r="6868" b="5742"/>
                          <a:stretch>
                            <a:fillRect/>
                          </a:stretch>
                        </pic:blipFill>
                        <pic:spPr bwMode="auto">
                          <a:xfrm>
                            <a:off x="0" y="0"/>
                            <a:ext cx="2214824" cy="3044999"/>
                          </a:xfrm>
                          <a:prstGeom prst="rect">
                            <a:avLst/>
                          </a:prstGeom>
                          <a:noFill/>
                          <a:ln w="9525">
                            <a:noFill/>
                            <a:miter lim="800000"/>
                            <a:headEnd/>
                            <a:tailEnd/>
                          </a:ln>
                        </pic:spPr>
                      </pic:pic>
                    </a:graphicData>
                  </a:graphic>
                </wp:inline>
              </w:drawing>
            </w:r>
          </w:p>
        </w:tc>
        <w:tc>
          <w:tcPr>
            <w:tcW w:w="4243" w:type="dxa"/>
            <w:tcBorders>
              <w:top w:val="single" w:sz="4" w:space="0" w:color="auto"/>
            </w:tcBorders>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171700" cy="3048258"/>
                  <wp:effectExtent l="19050" t="0" r="0" b="0"/>
                  <wp:docPr id="2" name="Picture 15" descr="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15"/>
                          <a:stretch>
                            <a:fillRect/>
                          </a:stretch>
                        </pic:blipFill>
                        <pic:spPr>
                          <a:xfrm>
                            <a:off x="0" y="0"/>
                            <a:ext cx="2177337" cy="3056170"/>
                          </a:xfrm>
                          <a:prstGeom prst="rect">
                            <a:avLst/>
                          </a:prstGeom>
                        </pic:spPr>
                      </pic:pic>
                    </a:graphicData>
                  </a:graphic>
                </wp:inline>
              </w:drawing>
            </w:r>
          </w:p>
        </w:tc>
      </w:tr>
      <w:tr w:rsidR="00D92A35" w:rsidRPr="00D92A35" w:rsidTr="007948E6">
        <w:trPr>
          <w:jc w:val="center"/>
        </w:trPr>
        <w:tc>
          <w:tcPr>
            <w:tcW w:w="8438" w:type="dxa"/>
            <w:gridSpan w:val="2"/>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Clarifying the issues used in conveying concepts to students</w:t>
            </w:r>
          </w:p>
        </w:tc>
      </w:tr>
      <w:tr w:rsidR="00D92A35" w:rsidRPr="00D92A35" w:rsidTr="007948E6">
        <w:trPr>
          <w:jc w:val="center"/>
        </w:trPr>
        <w:tc>
          <w:tcPr>
            <w:tcW w:w="4195"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333625" cy="3288759"/>
                  <wp:effectExtent l="19050" t="0" r="0" b="0"/>
                  <wp:docPr id="3" name="Picture 16" descr="xxx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png.png"/>
                          <pic:cNvPicPr/>
                        </pic:nvPicPr>
                        <pic:blipFill>
                          <a:blip r:embed="rId16"/>
                          <a:stretch>
                            <a:fillRect/>
                          </a:stretch>
                        </pic:blipFill>
                        <pic:spPr>
                          <a:xfrm>
                            <a:off x="0" y="0"/>
                            <a:ext cx="2334417" cy="3289876"/>
                          </a:xfrm>
                          <a:prstGeom prst="rect">
                            <a:avLst/>
                          </a:prstGeom>
                        </pic:spPr>
                      </pic:pic>
                    </a:graphicData>
                  </a:graphic>
                </wp:inline>
              </w:drawing>
            </w:r>
          </w:p>
        </w:tc>
        <w:tc>
          <w:tcPr>
            <w:tcW w:w="4243"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286000" cy="3204527"/>
                  <wp:effectExtent l="19050" t="0" r="0" b="0"/>
                  <wp:docPr id="5" name="Picture 17" descr="y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yy.png"/>
                          <pic:cNvPicPr/>
                        </pic:nvPicPr>
                        <pic:blipFill>
                          <a:blip r:embed="rId17"/>
                          <a:stretch>
                            <a:fillRect/>
                          </a:stretch>
                        </pic:blipFill>
                        <pic:spPr>
                          <a:xfrm>
                            <a:off x="0" y="0"/>
                            <a:ext cx="2282771" cy="3200000"/>
                          </a:xfrm>
                          <a:prstGeom prst="rect">
                            <a:avLst/>
                          </a:prstGeom>
                        </pic:spPr>
                      </pic:pic>
                    </a:graphicData>
                  </a:graphic>
                </wp:inline>
              </w:drawing>
            </w:r>
          </w:p>
        </w:tc>
      </w:tr>
      <w:tr w:rsidR="00D92A35" w:rsidRPr="00D92A35" w:rsidTr="007948E6">
        <w:trPr>
          <w:jc w:val="center"/>
        </w:trPr>
        <w:tc>
          <w:tcPr>
            <w:tcW w:w="8438" w:type="dxa"/>
            <w:gridSpan w:val="2"/>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Eliminating repetitive parts to avoid redundancy in conveying the material as well as images (illustrations).</w:t>
            </w:r>
          </w:p>
        </w:tc>
      </w:tr>
      <w:tr w:rsidR="00D92A35" w:rsidRPr="00D92A35" w:rsidTr="007948E6">
        <w:trPr>
          <w:jc w:val="center"/>
        </w:trPr>
        <w:tc>
          <w:tcPr>
            <w:tcW w:w="4195"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lastRenderedPageBreak/>
              <w:drawing>
                <wp:inline distT="0" distB="0" distL="0" distR="0">
                  <wp:extent cx="2352675" cy="3319886"/>
                  <wp:effectExtent l="19050" t="0" r="9525" b="0"/>
                  <wp:docPr id="6" name="Picture 20" descr="z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png"/>
                          <pic:cNvPicPr/>
                        </pic:nvPicPr>
                        <pic:blipFill>
                          <a:blip r:embed="rId18"/>
                          <a:stretch>
                            <a:fillRect/>
                          </a:stretch>
                        </pic:blipFill>
                        <pic:spPr>
                          <a:xfrm>
                            <a:off x="0" y="0"/>
                            <a:ext cx="2352948" cy="3320271"/>
                          </a:xfrm>
                          <a:prstGeom prst="rect">
                            <a:avLst/>
                          </a:prstGeom>
                        </pic:spPr>
                      </pic:pic>
                    </a:graphicData>
                  </a:graphic>
                </wp:inline>
              </w:drawing>
            </w:r>
          </w:p>
        </w:tc>
        <w:tc>
          <w:tcPr>
            <w:tcW w:w="4243"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343150" cy="3240302"/>
                  <wp:effectExtent l="19050" t="0" r="0" b="0"/>
                  <wp:docPr id="7" name="Picture 18" descr="z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aa.png"/>
                          <pic:cNvPicPr/>
                        </pic:nvPicPr>
                        <pic:blipFill>
                          <a:blip r:embed="rId19"/>
                          <a:stretch>
                            <a:fillRect/>
                          </a:stretch>
                        </pic:blipFill>
                        <pic:spPr>
                          <a:xfrm>
                            <a:off x="0" y="0"/>
                            <a:ext cx="2343748" cy="3241129"/>
                          </a:xfrm>
                          <a:prstGeom prst="rect">
                            <a:avLst/>
                          </a:prstGeom>
                        </pic:spPr>
                      </pic:pic>
                    </a:graphicData>
                  </a:graphic>
                </wp:inline>
              </w:drawing>
            </w:r>
          </w:p>
        </w:tc>
      </w:tr>
      <w:tr w:rsidR="00D92A35" w:rsidRPr="00D92A35" w:rsidTr="007948E6">
        <w:trPr>
          <w:jc w:val="center"/>
        </w:trPr>
        <w:tc>
          <w:tcPr>
            <w:tcW w:w="8438" w:type="dxa"/>
            <w:gridSpan w:val="2"/>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mesh diagrams in the surface area of the rectangular prism material are replaced with the same mesh diagrams as the previous image (the stone structure of Bale Agung).</w:t>
            </w:r>
          </w:p>
        </w:tc>
      </w:tr>
      <w:tr w:rsidR="00D92A35" w:rsidRPr="00D92A35" w:rsidTr="007948E6">
        <w:trPr>
          <w:jc w:val="center"/>
        </w:trPr>
        <w:tc>
          <w:tcPr>
            <w:tcW w:w="4195"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238375" cy="3135719"/>
                  <wp:effectExtent l="19050" t="0" r="9525" b="0"/>
                  <wp:docPr id="8" name="Picture 22" descr="zz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a.png"/>
                          <pic:cNvPicPr/>
                        </pic:nvPicPr>
                        <pic:blipFill>
                          <a:blip r:embed="rId20"/>
                          <a:stretch>
                            <a:fillRect/>
                          </a:stretch>
                        </pic:blipFill>
                        <pic:spPr>
                          <a:xfrm>
                            <a:off x="0" y="0"/>
                            <a:ext cx="2236671" cy="3133332"/>
                          </a:xfrm>
                          <a:prstGeom prst="rect">
                            <a:avLst/>
                          </a:prstGeom>
                        </pic:spPr>
                      </pic:pic>
                    </a:graphicData>
                  </a:graphic>
                </wp:inline>
              </w:drawing>
            </w:r>
          </w:p>
        </w:tc>
        <w:tc>
          <w:tcPr>
            <w:tcW w:w="4243" w:type="dxa"/>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drawing>
                <wp:inline distT="0" distB="0" distL="0" distR="0">
                  <wp:extent cx="2314575" cy="3207193"/>
                  <wp:effectExtent l="19050" t="0" r="9525" b="0"/>
                  <wp:docPr id="9" name="Picture 23" descr="zzz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b.png"/>
                          <pic:cNvPicPr/>
                        </pic:nvPicPr>
                        <pic:blipFill>
                          <a:blip r:embed="rId21"/>
                          <a:stretch>
                            <a:fillRect/>
                          </a:stretch>
                        </pic:blipFill>
                        <pic:spPr>
                          <a:xfrm>
                            <a:off x="0" y="0"/>
                            <a:ext cx="2313767" cy="3206074"/>
                          </a:xfrm>
                          <a:prstGeom prst="rect">
                            <a:avLst/>
                          </a:prstGeom>
                        </pic:spPr>
                      </pic:pic>
                    </a:graphicData>
                  </a:graphic>
                </wp:inline>
              </w:drawing>
            </w:r>
          </w:p>
        </w:tc>
      </w:tr>
      <w:tr w:rsidR="00D92A35" w:rsidRPr="00D92A35" w:rsidTr="007948E6">
        <w:trPr>
          <w:jc w:val="center"/>
        </w:trPr>
        <w:tc>
          <w:tcPr>
            <w:tcW w:w="8438" w:type="dxa"/>
            <w:gridSpan w:val="2"/>
          </w:tcPr>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Adding illustrations for the complete form of a truncated pyramid (a pointed pyramid) on the 'Umpak’</w:t>
            </w:r>
          </w:p>
        </w:tc>
      </w:tr>
    </w:tbl>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p>
    <w:p w:rsidR="00D92A35" w:rsidRPr="00B802C6" w:rsidRDefault="00B802C6" w:rsidP="00B802C6">
      <w:pPr>
        <w:spacing w:before="240" w:after="0" w:line="240" w:lineRule="auto"/>
        <w:jc w:val="both"/>
        <w:rPr>
          <w:rFonts w:ascii="Times New Roman" w:eastAsia="Times New Roman" w:hAnsi="Times New Roman" w:cs="Times New Roman"/>
          <w:b/>
          <w:bCs/>
          <w:i/>
          <w:iCs/>
          <w:sz w:val="24"/>
          <w:szCs w:val="24"/>
          <w:lang w:val="en-US"/>
        </w:rPr>
      </w:pPr>
      <w:r w:rsidRPr="00B802C6">
        <w:rPr>
          <w:rFonts w:ascii="Times New Roman" w:eastAsia="Times New Roman" w:hAnsi="Times New Roman" w:cs="Times New Roman"/>
          <w:b/>
          <w:bCs/>
          <w:i/>
          <w:iCs/>
          <w:sz w:val="24"/>
          <w:szCs w:val="24"/>
          <w:lang w:val="en-US"/>
        </w:rPr>
        <w:t xml:space="preserve">c. </w:t>
      </w:r>
      <w:r w:rsidR="00D92A35" w:rsidRPr="00B802C6">
        <w:rPr>
          <w:rFonts w:ascii="Times New Roman" w:eastAsia="Times New Roman" w:hAnsi="Times New Roman" w:cs="Times New Roman"/>
          <w:b/>
          <w:bCs/>
          <w:i/>
          <w:iCs/>
          <w:sz w:val="24"/>
          <w:szCs w:val="24"/>
          <w:lang w:val="en-US"/>
        </w:rPr>
        <w:t>Evaluation Phase</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The validation process has been completed, revised, and deemed suitable for testing with students at SMP Islam Annuriyah Malang who have studied the topic of "Two-Dimensional Shapes" in grade IX. Before conducting the trial, students were given a pre-test to assess their initial abilities before using the culturally-based Candi Penataran-themed worksheet (LKPD). The results of the pre-test can be found in the appendix attached to this report. This trial aims to determine the effectiveness and attractiveness of the developed </w:t>
      </w:r>
      <w:r w:rsidRPr="00D92A35">
        <w:rPr>
          <w:rFonts w:ascii="Times New Roman" w:eastAsia="Times New Roman" w:hAnsi="Times New Roman" w:cs="Times New Roman"/>
          <w:sz w:val="24"/>
          <w:szCs w:val="24"/>
          <w:lang w:val="en-US"/>
        </w:rPr>
        <w:lastRenderedPageBreak/>
        <w:t>product and whether it can be used as a reference for student learning, as assessed through a questionnaire filled out by the students.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trial of the developed and improved culturally-based Candi Penataran-themed LKPD took place following the validation process's conclusions. The final validation stage involved implementing the Candi Penataran-themed LKPD in Class IX A at SMP Islam Annuriyah Malang. This activity represents the last step in determining the suitability of the developed LKPD.</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Each student received the LKPD for their learning, and they were then asked to complete the activities and exercises within the LKPD. Subsequently, students were given a test to assess their learning outcomes. The results of this assessment will serve as criteria for the effectiveness of the developed LKPD.</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evaluations conducted by subject matter experts, educators, designers, language experts, Islamic scholars, and practitioners, as well as the student test results, indicate that the "Two-Dimensional Shapes" LKPD meets the criteria for validity. Therefore, the LKPD can be utilized in mathematics education, with the hope that it will assist students in enhancing their learning outcomes.</w:t>
      </w:r>
    </w:p>
    <w:p w:rsidR="00D92A35" w:rsidRPr="00D92A35" w:rsidRDefault="00D92A35" w:rsidP="00FC34FD">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Below are the results of the pre-test and post-test for the students.</w:t>
      </w:r>
    </w:p>
    <w:p w:rsidR="00D92A35" w:rsidRPr="00D92A35" w:rsidRDefault="00B802C6" w:rsidP="00B802C6">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lang w:val="en-US"/>
        </w:rPr>
        <w:t>3.</w:t>
      </w:r>
      <w:r w:rsidR="00D92A35" w:rsidRPr="00D92A35">
        <w:rPr>
          <w:rFonts w:ascii="Times New Roman" w:eastAsia="Times New Roman" w:hAnsi="Times New Roman" w:cs="Times New Roman"/>
          <w:sz w:val="24"/>
          <w:szCs w:val="24"/>
        </w:rPr>
        <w:t xml:space="preserve"> Student Pre-test and Post-test Results</w:t>
      </w:r>
    </w:p>
    <w:tbl>
      <w:tblPr>
        <w:tblW w:w="3121" w:type="pct"/>
        <w:jc w:val="center"/>
        <w:tblInd w:w="3473" w:type="dxa"/>
        <w:tblBorders>
          <w:top w:val="single" w:sz="4" w:space="0" w:color="auto"/>
          <w:bottom w:val="single" w:sz="4" w:space="0" w:color="auto"/>
        </w:tblBorders>
        <w:tblLook w:val="04A0"/>
      </w:tblPr>
      <w:tblGrid>
        <w:gridCol w:w="992"/>
        <w:gridCol w:w="2366"/>
        <w:gridCol w:w="1205"/>
        <w:gridCol w:w="1206"/>
      </w:tblGrid>
      <w:tr w:rsidR="00B802C6" w:rsidRPr="00B802C6" w:rsidTr="00B802C6">
        <w:trPr>
          <w:trHeight w:val="330"/>
          <w:jc w:val="center"/>
        </w:trPr>
        <w:tc>
          <w:tcPr>
            <w:tcW w:w="860" w:type="pct"/>
            <w:tcBorders>
              <w:top w:val="single" w:sz="4" w:space="0" w:color="auto"/>
              <w:bottom w:val="single" w:sz="4" w:space="0" w:color="auto"/>
            </w:tcBorders>
            <w:shd w:val="clear" w:color="auto" w:fill="D9D9D9" w:themeFill="background1" w:themeFillShade="D9"/>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No.</w:t>
            </w:r>
          </w:p>
        </w:tc>
        <w:tc>
          <w:tcPr>
            <w:tcW w:w="2051" w:type="pct"/>
            <w:tcBorders>
              <w:top w:val="single" w:sz="4" w:space="0" w:color="auto"/>
              <w:bottom w:val="single" w:sz="4" w:space="0" w:color="auto"/>
            </w:tcBorders>
            <w:shd w:val="clear" w:color="auto" w:fill="D9D9D9" w:themeFill="background1" w:themeFillShade="D9"/>
            <w:hideMark/>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Name</w:t>
            </w:r>
          </w:p>
        </w:tc>
        <w:tc>
          <w:tcPr>
            <w:tcW w:w="1044" w:type="pct"/>
            <w:tcBorders>
              <w:top w:val="single" w:sz="4" w:space="0" w:color="auto"/>
              <w:bottom w:val="single" w:sz="4" w:space="0" w:color="auto"/>
            </w:tcBorders>
            <w:shd w:val="clear" w:color="auto" w:fill="D9D9D9" w:themeFill="background1" w:themeFillShade="D9"/>
            <w:hideMark/>
          </w:tcPr>
          <w:p w:rsidR="00D92A35" w:rsidRPr="00B802C6" w:rsidRDefault="00D92A35" w:rsidP="00B802C6">
            <w:pPr>
              <w:spacing w:after="0" w:line="240" w:lineRule="auto"/>
              <w:jc w:val="both"/>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Pre-Test</w:t>
            </w:r>
          </w:p>
        </w:tc>
        <w:tc>
          <w:tcPr>
            <w:tcW w:w="1045" w:type="pct"/>
            <w:tcBorders>
              <w:top w:val="single" w:sz="4" w:space="0" w:color="auto"/>
              <w:bottom w:val="single" w:sz="4" w:space="0" w:color="auto"/>
            </w:tcBorders>
            <w:shd w:val="clear" w:color="auto" w:fill="D9D9D9" w:themeFill="background1" w:themeFillShade="D9"/>
            <w:hideMark/>
          </w:tcPr>
          <w:p w:rsidR="00D92A35" w:rsidRPr="00B802C6" w:rsidRDefault="00D92A35" w:rsidP="00B802C6">
            <w:pPr>
              <w:spacing w:after="0" w:line="240" w:lineRule="auto"/>
              <w:jc w:val="both"/>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Post Test</w:t>
            </w:r>
          </w:p>
        </w:tc>
      </w:tr>
      <w:tr w:rsidR="00B802C6" w:rsidRPr="00B802C6" w:rsidTr="00B802C6">
        <w:trPr>
          <w:trHeight w:val="330"/>
          <w:jc w:val="center"/>
        </w:trPr>
        <w:tc>
          <w:tcPr>
            <w:tcW w:w="860" w:type="pct"/>
            <w:tcBorders>
              <w:top w:val="single" w:sz="4" w:space="0" w:color="auto"/>
            </w:tcBorders>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w:t>
            </w:r>
          </w:p>
        </w:tc>
        <w:tc>
          <w:tcPr>
            <w:tcW w:w="2051" w:type="pct"/>
            <w:tcBorders>
              <w:top w:val="single" w:sz="4" w:space="0" w:color="auto"/>
            </w:tcBorders>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1</w:t>
            </w:r>
          </w:p>
        </w:tc>
        <w:tc>
          <w:tcPr>
            <w:tcW w:w="1044" w:type="pct"/>
            <w:tcBorders>
              <w:top w:val="single" w:sz="4" w:space="0" w:color="auto"/>
            </w:tcBorders>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0</w:t>
            </w:r>
          </w:p>
        </w:tc>
        <w:tc>
          <w:tcPr>
            <w:tcW w:w="1045" w:type="pct"/>
            <w:tcBorders>
              <w:top w:val="single" w:sz="4" w:space="0" w:color="auto"/>
            </w:tcBorders>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86</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2</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2</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0</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61</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3</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3</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33</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64</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4</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4</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59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63</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5</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5</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59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63</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6</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15</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46</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7</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7</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59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41</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8</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18</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81</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9</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9</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27</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84</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10</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10</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0</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84</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11</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11</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39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64</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12</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12</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59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86</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13</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 13</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9</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86</w:t>
            </w:r>
          </w:p>
        </w:tc>
      </w:tr>
      <w:tr w:rsidR="00B802C6" w:rsidRPr="00B802C6" w:rsidTr="00B802C6">
        <w:trPr>
          <w:trHeight w:val="330"/>
          <w:jc w:val="center"/>
        </w:trPr>
        <w:tc>
          <w:tcPr>
            <w:tcW w:w="860" w:type="pct"/>
            <w:shd w:val="clear" w:color="auto" w:fill="auto"/>
            <w:vAlign w:val="center"/>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14</w:t>
            </w:r>
          </w:p>
        </w:tc>
        <w:tc>
          <w:tcPr>
            <w:tcW w:w="2051" w:type="pct"/>
            <w:shd w:val="clear" w:color="auto" w:fill="auto"/>
          </w:tcPr>
          <w:p w:rsidR="00D92A35" w:rsidRPr="00B802C6" w:rsidRDefault="00D92A35" w:rsidP="00B802C6">
            <w:pPr>
              <w:spacing w:after="0" w:line="240" w:lineRule="auto"/>
              <w:ind w:firstLine="88"/>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S14</w:t>
            </w:r>
          </w:p>
        </w:tc>
        <w:tc>
          <w:tcPr>
            <w:tcW w:w="1044" w:type="pct"/>
            <w:shd w:val="clear" w:color="auto" w:fill="auto"/>
            <w:hideMark/>
          </w:tcPr>
          <w:p w:rsidR="00D92A35" w:rsidRPr="00B802C6" w:rsidRDefault="00D92A35" w:rsidP="00B802C6">
            <w:pPr>
              <w:spacing w:after="0" w:line="240" w:lineRule="auto"/>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41</w:t>
            </w:r>
          </w:p>
        </w:tc>
        <w:tc>
          <w:tcPr>
            <w:tcW w:w="1045" w:type="pct"/>
            <w:shd w:val="clear" w:color="auto" w:fill="auto"/>
            <w:hideMark/>
          </w:tcPr>
          <w:p w:rsidR="00D92A35" w:rsidRPr="00B802C6" w:rsidRDefault="00D92A35" w:rsidP="00B802C6">
            <w:pPr>
              <w:spacing w:after="0" w:line="240" w:lineRule="auto"/>
              <w:ind w:firstLine="57"/>
              <w:jc w:val="center"/>
              <w:rPr>
                <w:rFonts w:ascii="Times New Roman" w:eastAsia="Times New Roman" w:hAnsi="Times New Roman" w:cs="Times New Roman"/>
                <w:bCs/>
                <w:lang w:val="en-US"/>
              </w:rPr>
            </w:pPr>
            <w:r w:rsidRPr="00B802C6">
              <w:rPr>
                <w:rFonts w:ascii="Times New Roman" w:eastAsia="Times New Roman" w:hAnsi="Times New Roman" w:cs="Times New Roman"/>
                <w:bCs/>
                <w:lang w:val="en-US"/>
              </w:rPr>
              <w:t>0</w:t>
            </w:r>
          </w:p>
        </w:tc>
      </w:tr>
    </w:tbl>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p>
    <w:p w:rsidR="00D92A35" w:rsidRPr="00D92A35" w:rsidRDefault="00B802C6" w:rsidP="00FC34FD">
      <w:pPr>
        <w:spacing w:before="240"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**Table 3</w:t>
      </w:r>
      <w:r w:rsidR="00D92A35" w:rsidRPr="00D92A35">
        <w:rPr>
          <w:rFonts w:ascii="Times New Roman" w:eastAsia="Times New Roman" w:hAnsi="Times New Roman" w:cs="Times New Roman"/>
          <w:sz w:val="24"/>
          <w:szCs w:val="24"/>
          <w:lang w:val="en-US"/>
        </w:rPr>
        <w:t>** shows significant variations in student achievement between the Pre-test and Post-test. Some students experienced remarkable improvements in their understanding of the material, such as Subject 1, who initially scored 0 on the Pre-Test and increased to 86 on the Post-Test. Additionally, Subject 8 also demonstrated significant improvement, with a Pre-Test score of 18 and a Post-Test score of 81. On the other hand, there were some students who recorded a decline in their results, such as Subject 7, who decreased from a Pre-Test score of 59 to 41 on the Post-Test. Furthermore, some students achieved stagnant scores, like Subject 14, who maintained a score of 41 on both tests. Further analysis of this data can provide deeper insights into the use of LKPD in supporting students' learning outcomes in the topic of Two-Dimensional Shapes.</w:t>
      </w:r>
    </w:p>
    <w:p w:rsidR="00D92A35" w:rsidRPr="00D92A35" w:rsidRDefault="00B802C6" w:rsidP="00B802C6">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4</w:t>
      </w:r>
      <w:r>
        <w:rPr>
          <w:rFonts w:ascii="Times New Roman" w:eastAsia="Times New Roman" w:hAnsi="Times New Roman" w:cs="Times New Roman"/>
          <w:sz w:val="24"/>
          <w:szCs w:val="24"/>
          <w:lang w:val="en-US"/>
        </w:rPr>
        <w:t xml:space="preserve">. </w:t>
      </w:r>
      <w:r w:rsidR="00D92A35" w:rsidRPr="00D92A35">
        <w:rPr>
          <w:rFonts w:ascii="Times New Roman" w:eastAsia="Times New Roman" w:hAnsi="Times New Roman" w:cs="Times New Roman"/>
          <w:sz w:val="24"/>
          <w:szCs w:val="24"/>
        </w:rPr>
        <w:t>Results of Students' Religious Moderation Questionnaire</w:t>
      </w:r>
    </w:p>
    <w:tbl>
      <w:tblPr>
        <w:tblW w:w="3709" w:type="pct"/>
        <w:jc w:val="center"/>
        <w:tblInd w:w="2566" w:type="dxa"/>
        <w:tblBorders>
          <w:top w:val="single" w:sz="4" w:space="0" w:color="auto"/>
          <w:bottom w:val="single" w:sz="4" w:space="0" w:color="auto"/>
        </w:tblBorders>
        <w:tblLook w:val="04A0"/>
      </w:tblPr>
      <w:tblGrid>
        <w:gridCol w:w="1037"/>
        <w:gridCol w:w="2773"/>
        <w:gridCol w:w="1523"/>
        <w:gridCol w:w="1523"/>
      </w:tblGrid>
      <w:tr w:rsidR="00D92A35" w:rsidRPr="00D92A35" w:rsidTr="00B802C6">
        <w:trPr>
          <w:trHeight w:val="330"/>
          <w:tblHeader/>
          <w:jc w:val="center"/>
        </w:trPr>
        <w:tc>
          <w:tcPr>
            <w:tcW w:w="756" w:type="pct"/>
            <w:tcBorders>
              <w:top w:val="single" w:sz="4" w:space="0" w:color="auto"/>
              <w:bottom w:val="single" w:sz="4" w:space="0" w:color="auto"/>
            </w:tcBorders>
            <w:shd w:val="clear" w:color="auto" w:fill="D9D9D9" w:themeFill="background1" w:themeFillShade="D9"/>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No.</w:t>
            </w:r>
          </w:p>
        </w:tc>
        <w:tc>
          <w:tcPr>
            <w:tcW w:w="2022" w:type="pct"/>
            <w:tcBorders>
              <w:top w:val="single" w:sz="4" w:space="0" w:color="auto"/>
              <w:bottom w:val="single" w:sz="4" w:space="0" w:color="auto"/>
            </w:tcBorders>
            <w:shd w:val="clear" w:color="auto" w:fill="D9D9D9" w:themeFill="background1" w:themeFillShade="D9"/>
            <w:vAlign w:val="center"/>
            <w:hideMark/>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Name</w:t>
            </w:r>
          </w:p>
        </w:tc>
        <w:tc>
          <w:tcPr>
            <w:tcW w:w="1111" w:type="pct"/>
            <w:tcBorders>
              <w:top w:val="single" w:sz="4" w:space="0" w:color="auto"/>
              <w:bottom w:val="single" w:sz="4" w:space="0" w:color="auto"/>
            </w:tcBorders>
            <w:shd w:val="clear" w:color="auto" w:fill="D9D9D9" w:themeFill="background1" w:themeFillShade="D9"/>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Meet-1</w:t>
            </w:r>
          </w:p>
        </w:tc>
        <w:tc>
          <w:tcPr>
            <w:tcW w:w="1111" w:type="pct"/>
            <w:tcBorders>
              <w:top w:val="single" w:sz="4" w:space="0" w:color="auto"/>
              <w:bottom w:val="single" w:sz="4" w:space="0" w:color="auto"/>
            </w:tcBorders>
            <w:shd w:val="clear" w:color="auto" w:fill="D9D9D9" w:themeFill="background1" w:themeFillShade="D9"/>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Meet-2</w:t>
            </w:r>
          </w:p>
        </w:tc>
      </w:tr>
      <w:tr w:rsidR="00D92A35" w:rsidRPr="00D92A35" w:rsidTr="00B802C6">
        <w:trPr>
          <w:trHeight w:val="330"/>
          <w:jc w:val="center"/>
        </w:trPr>
        <w:tc>
          <w:tcPr>
            <w:tcW w:w="756" w:type="pct"/>
            <w:tcBorders>
              <w:top w:val="single" w:sz="4" w:space="0" w:color="auto"/>
            </w:tcBorders>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lastRenderedPageBreak/>
              <w:t>1</w:t>
            </w:r>
          </w:p>
        </w:tc>
        <w:tc>
          <w:tcPr>
            <w:tcW w:w="2022" w:type="pct"/>
            <w:tcBorders>
              <w:top w:val="single" w:sz="4" w:space="0" w:color="auto"/>
            </w:tcBorders>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1</w:t>
            </w:r>
          </w:p>
        </w:tc>
        <w:tc>
          <w:tcPr>
            <w:tcW w:w="1111" w:type="pct"/>
            <w:tcBorders>
              <w:top w:val="single" w:sz="4" w:space="0" w:color="auto"/>
            </w:tcBorders>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37</w:t>
            </w:r>
          </w:p>
        </w:tc>
        <w:tc>
          <w:tcPr>
            <w:tcW w:w="1111" w:type="pct"/>
            <w:tcBorders>
              <w:top w:val="single" w:sz="4" w:space="0" w:color="auto"/>
            </w:tcBorders>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43</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2</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50</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3</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37</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38</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4</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27</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5</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48</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54</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6</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6</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57</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56</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7</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7</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25</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27</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8</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8</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35</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9</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9</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37</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43</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10</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10</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30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27</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11</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11</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27</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12</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12</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23</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27</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13</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 13</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42</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42</w:t>
            </w:r>
          </w:p>
        </w:tc>
      </w:tr>
      <w:tr w:rsidR="00D92A35" w:rsidRPr="00D92A35" w:rsidTr="00B802C6">
        <w:trPr>
          <w:trHeight w:val="330"/>
          <w:jc w:val="center"/>
        </w:trPr>
        <w:tc>
          <w:tcPr>
            <w:tcW w:w="756" w:type="pct"/>
            <w:shd w:val="clear" w:color="auto" w:fill="auto"/>
            <w:vAlign w:val="center"/>
            <w:hideMark/>
          </w:tcPr>
          <w:p w:rsidR="00D92A35" w:rsidRPr="00D92A35" w:rsidRDefault="00D92A35" w:rsidP="00B802C6">
            <w:pPr>
              <w:tabs>
                <w:tab w:val="left" w:pos="0"/>
              </w:tabs>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14</w:t>
            </w:r>
          </w:p>
        </w:tc>
        <w:tc>
          <w:tcPr>
            <w:tcW w:w="2022" w:type="pct"/>
            <w:shd w:val="clear" w:color="auto" w:fill="auto"/>
            <w:vAlign w:val="center"/>
          </w:tcPr>
          <w:p w:rsidR="00D92A35" w:rsidRPr="00D92A35" w:rsidRDefault="00D92A35" w:rsidP="00B802C6">
            <w:pPr>
              <w:spacing w:after="0" w:line="240" w:lineRule="auto"/>
              <w:ind w:firstLine="567"/>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S14</w:t>
            </w:r>
          </w:p>
        </w:tc>
        <w:tc>
          <w:tcPr>
            <w:tcW w:w="1111" w:type="pct"/>
            <w:shd w:val="clear" w:color="auto" w:fill="auto"/>
            <w:vAlign w:val="center"/>
            <w:hideMark/>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40</w:t>
            </w:r>
          </w:p>
        </w:tc>
        <w:tc>
          <w:tcPr>
            <w:tcW w:w="1111" w:type="pct"/>
            <w:shd w:val="clear" w:color="auto" w:fill="auto"/>
            <w:vAlign w:val="center"/>
          </w:tcPr>
          <w:p w:rsidR="00D92A35" w:rsidRPr="00D92A35" w:rsidRDefault="00D92A35" w:rsidP="00B802C6">
            <w:pPr>
              <w:spacing w:after="0" w:line="240" w:lineRule="auto"/>
              <w:jc w:val="center"/>
              <w:rPr>
                <w:rFonts w:ascii="Times New Roman" w:eastAsia="Times New Roman" w:hAnsi="Times New Roman" w:cs="Times New Roman"/>
                <w:bCs/>
                <w:sz w:val="24"/>
                <w:szCs w:val="24"/>
                <w:lang w:val="en-US"/>
              </w:rPr>
            </w:pPr>
            <w:r w:rsidRPr="00D92A35">
              <w:rPr>
                <w:rFonts w:ascii="Times New Roman" w:eastAsia="Times New Roman" w:hAnsi="Times New Roman" w:cs="Times New Roman"/>
                <w:bCs/>
                <w:sz w:val="24"/>
                <w:szCs w:val="24"/>
                <w:lang w:val="en-US"/>
              </w:rPr>
              <w:t>41</w:t>
            </w:r>
          </w:p>
        </w:tc>
      </w:tr>
    </w:tbl>
    <w:p w:rsidR="00D92A35" w:rsidRPr="00D92A35" w:rsidRDefault="00D92A35" w:rsidP="00FC34FD">
      <w:pPr>
        <w:spacing w:after="0" w:line="240" w:lineRule="auto"/>
        <w:ind w:firstLine="567"/>
        <w:jc w:val="both"/>
        <w:rPr>
          <w:rFonts w:ascii="Times New Roman" w:eastAsia="Times New Roman" w:hAnsi="Times New Roman" w:cs="Times New Roman"/>
          <w:sz w:val="24"/>
          <w:szCs w:val="24"/>
        </w:rPr>
      </w:pPr>
    </w:p>
    <w:p w:rsidR="00D92A35" w:rsidRPr="00B802C6"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rPr>
        <w:t>The research results indicate significant variation in the development of the research subjects between the first and second meetings. Several subjects experienced a rather noticeable improvement in their understanding of the material, as reflected in the increase in scores between the first and second meetings. For example, Subject 5 showed a substantial improvement from a score of 48 in the first meeting to 54 in the second meeting, demonstrating a significant improvement in understanding the material. Subject 6 showed positive development, with a first-meeting score of 57 that increased to 56 in the second meeting. However, there were also subjects who experienced a decrease in their understanding, such as Subject 4, who initially scored 30 in the first meeting and dropped to 27 in the second meeting. Subject 8 also experienced a decrease, with a score of 20 in the first meeting rising to 35 in the second meeting.</w:t>
      </w:r>
    </w:p>
    <w:p w:rsidR="00D92A35" w:rsidRPr="00D92A35" w:rsidRDefault="00D92A35" w:rsidP="00FC34FD">
      <w:pPr>
        <w:spacing w:after="0" w:line="240" w:lineRule="auto"/>
        <w:ind w:firstLine="567"/>
        <w:jc w:val="both"/>
        <w:rPr>
          <w:rFonts w:ascii="Times New Roman" w:eastAsia="Times New Roman" w:hAnsi="Times New Roman" w:cs="Times New Roman"/>
          <w:bCs/>
          <w:sz w:val="24"/>
          <w:szCs w:val="24"/>
          <w:lang w:val="en-ID"/>
        </w:rPr>
      </w:pPr>
      <w:r w:rsidRPr="00D92A35">
        <w:rPr>
          <w:rFonts w:ascii="Times New Roman" w:eastAsia="Times New Roman" w:hAnsi="Times New Roman" w:cs="Times New Roman"/>
          <w:sz w:val="24"/>
          <w:szCs w:val="24"/>
        </w:rPr>
        <w:t>Furthermore, some other subjects showed stagnant changes between the two meetings, like Subject 2, who scored 50 in both meetings, and Subject 13, who maintained a score of 42 in both meetings. These results provide a complex picture of the development of the research subjects' understanding during the meeting period.</w:t>
      </w:r>
    </w:p>
    <w:p w:rsidR="00D92A35" w:rsidRPr="00B802C6" w:rsidRDefault="00B802C6" w:rsidP="00B802C6">
      <w:pPr>
        <w:spacing w:before="240" w:after="0" w:line="240" w:lineRule="auto"/>
        <w:jc w:val="both"/>
        <w:rPr>
          <w:rFonts w:ascii="Times New Roman" w:eastAsia="Times New Roman" w:hAnsi="Times New Roman" w:cs="Times New Roman"/>
          <w:b/>
          <w:bCs/>
          <w:sz w:val="24"/>
          <w:szCs w:val="24"/>
          <w:lang w:val="en-ID"/>
        </w:rPr>
      </w:pPr>
      <w:r w:rsidRPr="00B802C6">
        <w:rPr>
          <w:rFonts w:ascii="Times New Roman" w:eastAsia="Times New Roman" w:hAnsi="Times New Roman" w:cs="Times New Roman"/>
          <w:b/>
          <w:bCs/>
          <w:sz w:val="24"/>
          <w:szCs w:val="24"/>
          <w:lang w:val="en-ID"/>
        </w:rPr>
        <w:t>Discussion</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stages used in this development process utilize three phases developed by Richey and Klein: planning, production, and evaluation. During the analysis phase conducted before the research, it was identified that students faced difficulties in solving problems related to flat geometry materials. Therefore, the researcher chose to develop a culture-based Student Worksheet (LKPD) on the subject of flat-sided spatial geometry to assist students in understanding mathematics through cultural integration.</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design phase involved the development of a framework and ideas for creating culture-based LKPD on flat-sided spatial geometry. Designing was performed to provide an understanding of the appearance and content of the LKPD to be created and developed. The instrument design aimed to create a validation questionnaire for experts, including experts in the subject matter, experts in instructional media, design experts, language experts, Islamic experts, practitioners, as well as pre-test and post-test instruments.</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 xml:space="preserve">The production phase involved the creation of the instructional media. Once the product was completed and developed, the next step was to validate it with the experts. The validation aimed to identify the strengths and weaknesses of the LKPD and obtain feedback or suggestions for improving the developed LKPD. Validation also determined whether the </w:t>
      </w:r>
      <w:r w:rsidRPr="00D92A35">
        <w:rPr>
          <w:rFonts w:ascii="Times New Roman" w:eastAsia="Times New Roman" w:hAnsi="Times New Roman" w:cs="Times New Roman"/>
          <w:sz w:val="24"/>
          <w:szCs w:val="24"/>
          <w:lang w:val="en-US"/>
        </w:rPr>
        <w:lastRenderedPageBreak/>
        <w:t>LKPD was suitable for use in the learning process based on the assessments of the experts. The results of the expert evaluations showed that the LKPD was highly valid, with subject matter experts rating it at 77.94%, instructional experts at 97.2%, design experts at 82.5%, language experts at 90%, Islamic experts at 88%, and practitioners at 87%. Additionally, the validation results for the pre-test and post-test instruments were 90%, indicating "very valid."</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evaluation phase involved assessing the product that had been created and developed. The purpose of this evaluation phase was to determine whether the culture-based LKPD on spatial geometry was suitable and engaging for use in learning. The results of the assessments by subject matter experts, instructional media experts, design experts, language experts, Islamic experts, and practitioners led to the conclusion that the culture-based geometry LKPD was valid for use in learning and could support student learning outcomes.</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C32089" w:rsidP="00B802C6">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rsidR="00C32089" w:rsidRDefault="00C32089" w:rsidP="00B802C6">
      <w:pPr>
        <w:spacing w:after="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The conclusion describes the answer to the hypothesis and / or the purpose of the research or scientific findings obtained. Conclusions do not contain repetitions of the results and discussion, but rather summarize the findings as expected in the objectives or hypotheses.</w:t>
      </w:r>
    </w:p>
    <w:p w:rsidR="00D92A35" w:rsidRPr="00D92A35" w:rsidRDefault="00D92A35" w:rsidP="00B802C6">
      <w:pPr>
        <w:spacing w:after="0" w:line="240" w:lineRule="auto"/>
        <w:ind w:firstLine="567"/>
        <w:jc w:val="both"/>
        <w:rPr>
          <w:rFonts w:ascii="Times New Roman" w:eastAsia="Times New Roman" w:hAnsi="Times New Roman" w:cs="Times New Roman"/>
          <w:sz w:val="24"/>
          <w:szCs w:val="24"/>
        </w:rPr>
      </w:pPr>
      <w:r w:rsidRPr="00D92A35">
        <w:rPr>
          <w:rFonts w:ascii="Times New Roman" w:eastAsia="Times New Roman" w:hAnsi="Times New Roman" w:cs="Times New Roman"/>
          <w:sz w:val="24"/>
          <w:szCs w:val="24"/>
        </w:rPr>
        <w:t>The development of this Student Worksheet (LKPD) has resulted in the creation of the "Flat-Sided Spatial Geometry Student Worksheet" based on Candi Penataran as a companion book for mathematics, covering flat geometry topics for middle school students (grade VIII). It introduces one of Indonesia's cultural treasures, Candi Penataran. The development of this culture-based LKPD for flat-sided spatial geometry in middle school students received a valid rating from experts. The scores given by experts in instruction, content, media, Islamic integration, language, design, and practitioners were 77.94%, 97.2%, 88.63%, 82.5%, 100%, 93.75%, and 78.57%, respectively. Thus, the LKPD is considered highly valid, with an average score of 88.37%.</w:t>
      </w:r>
    </w:p>
    <w:p w:rsidR="00D92A35" w:rsidRDefault="00D92A35" w:rsidP="00B802C6">
      <w:pPr>
        <w:spacing w:after="0" w:line="240" w:lineRule="auto"/>
        <w:ind w:firstLine="567"/>
        <w:jc w:val="both"/>
        <w:rPr>
          <w:rFonts w:ascii="Times New Roman" w:eastAsia="Times New Roman" w:hAnsi="Times New Roman" w:cs="Times New Roman"/>
          <w:sz w:val="24"/>
          <w:szCs w:val="24"/>
          <w:lang w:val="en-US"/>
        </w:rPr>
      </w:pPr>
      <w:r w:rsidRPr="00D92A35">
        <w:rPr>
          <w:rFonts w:ascii="Times New Roman" w:eastAsia="Times New Roman" w:hAnsi="Times New Roman" w:cs="Times New Roman"/>
          <w:sz w:val="24"/>
          <w:szCs w:val="24"/>
          <w:lang w:val="en-US"/>
        </w:rPr>
        <w:t>The results of this development can contribute to the diversity of mathematics companion books and serve as a reference for both teachers and students in the eighth-grade classroom. For future research, it is hoped that the developed media will not be limited to flat geometry topics alone (cubes, rectangular prisms, prisms, and pyramids) but will explore more complex subjects to facilitate students in developing their mathematical understanding and moderating their diversity.</w:t>
      </w:r>
    </w:p>
    <w:p w:rsidR="00B802C6" w:rsidRPr="002251C0" w:rsidRDefault="00B802C6" w:rsidP="00B802C6">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C32089" w:rsidP="00B802C6">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RECOMMENDATION </w:t>
      </w:r>
    </w:p>
    <w:p w:rsidR="002A1526" w:rsidRPr="002A1526" w:rsidRDefault="002A1526" w:rsidP="002A1526">
      <w:pPr>
        <w:spacing w:line="240" w:lineRule="auto"/>
        <w:ind w:firstLine="567"/>
        <w:jc w:val="both"/>
        <w:rPr>
          <w:rFonts w:ascii="Times New Roman" w:eastAsia="Times New Roman" w:hAnsi="Times New Roman" w:cs="Times New Roman"/>
          <w:sz w:val="24"/>
          <w:szCs w:val="24"/>
        </w:rPr>
      </w:pPr>
      <w:r w:rsidRPr="002A1526">
        <w:rPr>
          <w:rFonts w:ascii="Times New Roman" w:eastAsia="Times New Roman" w:hAnsi="Times New Roman" w:cs="Times New Roman"/>
          <w:sz w:val="24"/>
          <w:szCs w:val="24"/>
          <w:lang/>
        </w:rPr>
        <w:t>This research is only limited to developing student worksheets on flat-sided geometric figures for class 9 of junior high school. Apart from that, this research is limited to the context of the Blitar upgrading temple only. So the researcher recommends other researchers to continue research in the field of ethnomathematics for other cultures, be it temples, games, artifacts, dances, and so on which can be used for mathematics learning, especially in improving students' understanding of mathematics.</w:t>
      </w:r>
    </w:p>
    <w:p w:rsidR="00C32089" w:rsidRPr="002251C0" w:rsidRDefault="00C32089" w:rsidP="00B802C6">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C32089" w:rsidP="00B802C6">
      <w:pPr>
        <w:spacing w:after="0" w:line="240" w:lineRule="auto"/>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REFERENCES </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sz w:val="24"/>
          <w:szCs w:val="24"/>
        </w:rPr>
        <w:fldChar w:fldCharType="begin" w:fldLock="1"/>
      </w:r>
      <w:r w:rsidRPr="00B802C6">
        <w:rPr>
          <w:rFonts w:asciiTheme="majorBidi" w:hAnsiTheme="majorBidi" w:cstheme="majorBidi"/>
          <w:sz w:val="24"/>
          <w:szCs w:val="24"/>
        </w:rPr>
        <w:instrText xml:space="preserve">ADDIN Mendeley Bibliography CSL_BIBLIOGRAPHY </w:instrText>
      </w:r>
      <w:r w:rsidRPr="00B802C6">
        <w:rPr>
          <w:rFonts w:asciiTheme="majorBidi" w:hAnsiTheme="majorBidi" w:cstheme="majorBidi"/>
          <w:sz w:val="24"/>
          <w:szCs w:val="24"/>
        </w:rPr>
        <w:fldChar w:fldCharType="separate"/>
      </w:r>
      <w:r w:rsidRPr="00B802C6">
        <w:rPr>
          <w:rFonts w:asciiTheme="majorBidi" w:hAnsiTheme="majorBidi" w:cstheme="majorBidi"/>
          <w:noProof/>
          <w:sz w:val="24"/>
          <w:szCs w:val="24"/>
        </w:rPr>
        <w:t xml:space="preserve">Astuti, A., Zulfah, Z., &amp; Rian, D. (2021). Pengembangan Lembar Kerja Peserta Didik (LKPD) Berbasis Etnomatematika pada Materi Bangun Ruang Sisi Datar Kelas VIII SMP Negeri 11 Tapung. </w:t>
      </w:r>
      <w:r w:rsidRPr="00B802C6">
        <w:rPr>
          <w:rFonts w:asciiTheme="majorBidi" w:hAnsiTheme="majorBidi" w:cstheme="majorBidi"/>
          <w:i/>
          <w:iCs/>
          <w:noProof/>
          <w:sz w:val="24"/>
          <w:szCs w:val="24"/>
        </w:rPr>
        <w:t>Jurnal Pendidikan Tambusai</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5</w:t>
      </w:r>
      <w:r w:rsidRPr="00B802C6">
        <w:rPr>
          <w:rFonts w:asciiTheme="majorBidi" w:hAnsiTheme="majorBidi" w:cstheme="majorBidi"/>
          <w:noProof/>
          <w:sz w:val="24"/>
          <w:szCs w:val="24"/>
        </w:rPr>
        <w:t>(3), 9222–9231. https://doi.org/10.31004/jptam.v5i3.2452</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Chandra, A., &amp; Hidayati, A. (2023). Pengembangan LKPD Berbasis Pendekatan Realistic Mathematics Education. </w:t>
      </w:r>
      <w:r w:rsidRPr="00B802C6">
        <w:rPr>
          <w:rFonts w:asciiTheme="majorBidi" w:hAnsiTheme="majorBidi" w:cstheme="majorBidi"/>
          <w:i/>
          <w:iCs/>
          <w:noProof/>
          <w:sz w:val="24"/>
          <w:szCs w:val="24"/>
        </w:rPr>
        <w:t>Jurnal Ilmiah Pendidikan Matematika)</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11</w:t>
      </w:r>
      <w:r w:rsidRPr="00B802C6">
        <w:rPr>
          <w:rFonts w:asciiTheme="majorBidi" w:hAnsiTheme="majorBidi" w:cstheme="majorBidi"/>
          <w:noProof/>
          <w:sz w:val="24"/>
          <w:szCs w:val="24"/>
        </w:rPr>
        <w:t>(2), 280–292. https://doi.org/10.25273/jipm.v11i2.14336</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Chandra, F. (2021). Eksplorasi bangun datar dan bangun ruang pada bangunan Candi Penataran di Kabupaten Blitar. </w:t>
      </w:r>
      <w:r w:rsidRPr="00B802C6">
        <w:rPr>
          <w:rFonts w:asciiTheme="majorBidi" w:hAnsiTheme="majorBidi" w:cstheme="majorBidi"/>
          <w:i/>
          <w:iCs/>
          <w:noProof/>
          <w:sz w:val="24"/>
          <w:szCs w:val="24"/>
        </w:rPr>
        <w:t>Skripsi</w:t>
      </w:r>
      <w:r w:rsidRPr="00B802C6">
        <w:rPr>
          <w:rFonts w:asciiTheme="majorBidi" w:hAnsiTheme="majorBidi" w:cstheme="majorBidi"/>
          <w:noProof/>
          <w:sz w:val="24"/>
          <w:szCs w:val="24"/>
        </w:rPr>
        <w:t>.</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D’Ambrosio, U. (1985). Ethnomathematics and Its Place in the History and Pedagogy of </w:t>
      </w:r>
      <w:r w:rsidRPr="00B802C6">
        <w:rPr>
          <w:rFonts w:asciiTheme="majorBidi" w:hAnsiTheme="majorBidi" w:cstheme="majorBidi"/>
          <w:noProof/>
          <w:sz w:val="24"/>
          <w:szCs w:val="24"/>
        </w:rPr>
        <w:lastRenderedPageBreak/>
        <w:t xml:space="preserve">Mathematics. </w:t>
      </w:r>
      <w:r w:rsidRPr="00B802C6">
        <w:rPr>
          <w:rFonts w:asciiTheme="majorBidi" w:hAnsiTheme="majorBidi" w:cstheme="majorBidi"/>
          <w:i/>
          <w:iCs/>
          <w:noProof/>
          <w:sz w:val="24"/>
          <w:szCs w:val="24"/>
        </w:rPr>
        <w:t>For the Learning of Mathematics</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5</w:t>
      </w:r>
      <w:r w:rsidRPr="00B802C6">
        <w:rPr>
          <w:rFonts w:asciiTheme="majorBidi" w:hAnsiTheme="majorBidi" w:cstheme="majorBidi"/>
          <w:noProof/>
          <w:sz w:val="24"/>
          <w:szCs w:val="24"/>
        </w:rPr>
        <w:t>(February 1985), 44-48 (in 'Classics').</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Guarino, K. F., Wakefield, E. M., Morrison, R. G., &amp; Richland, L. E. (2022). NC-ND license Why do children struggle on analogical reasoning tasks? Considering the role of problem format by measuring visual attention </w:t>
      </w:r>
      <w:r w:rsidRPr="00B802C6">
        <w:rPr>
          <w:rFonts w:ascii="Calibri" w:hAnsi="Calibri" w:cstheme="majorBidi"/>
          <w:noProof/>
          <w:sz w:val="24"/>
          <w:szCs w:val="24"/>
        </w:rPr>
        <w:t>☆</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Acta Psychologica</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224</w:t>
      </w:r>
      <w:r w:rsidRPr="00B802C6">
        <w:rPr>
          <w:rFonts w:asciiTheme="majorBidi" w:hAnsiTheme="majorBidi" w:cstheme="majorBidi"/>
          <w:noProof/>
          <w:sz w:val="24"/>
          <w:szCs w:val="24"/>
        </w:rPr>
        <w:t>. https://doi.org/10.17605/OSF.IO/YPRA8</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Handayani, S., &amp; Mandasari, N. (2018). Pengembangan Lembar Kerja Siswa (LKS) Berbasis Problem Based Learning untuk Meningkatkan Kemampuan Penalaran Matematika. </w:t>
      </w:r>
      <w:r w:rsidRPr="00B802C6">
        <w:rPr>
          <w:rFonts w:asciiTheme="majorBidi" w:hAnsiTheme="majorBidi" w:cstheme="majorBidi"/>
          <w:i/>
          <w:iCs/>
          <w:noProof/>
          <w:sz w:val="24"/>
          <w:szCs w:val="24"/>
        </w:rPr>
        <w:t>Jurnal Pendidikan Matematika (JUDIKA EDUCATION)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1</w:t>
      </w:r>
      <w:r w:rsidRPr="00B802C6">
        <w:rPr>
          <w:rFonts w:asciiTheme="majorBidi" w:hAnsiTheme="majorBidi" w:cstheme="majorBidi"/>
          <w:noProof/>
          <w:sz w:val="24"/>
          <w:szCs w:val="24"/>
        </w:rPr>
        <w:t>(2), 144–151. https://doi.org/10.31539/judika.v1i2.412</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Kuswari, R. I., &amp; Choiruddin, C. (2021). the Development of Student Worksheet Based on Higher Order Thinking Skills in Improving Mathematics Learning Outcomes. </w:t>
      </w:r>
      <w:r w:rsidRPr="00B802C6">
        <w:rPr>
          <w:rFonts w:asciiTheme="majorBidi" w:hAnsiTheme="majorBidi" w:cstheme="majorBidi"/>
          <w:i/>
          <w:iCs/>
          <w:noProof/>
          <w:sz w:val="24"/>
          <w:szCs w:val="24"/>
        </w:rPr>
        <w:t>JMIE (Journal of Madrasah Ibtidaiyah Education)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5</w:t>
      </w:r>
      <w:r w:rsidRPr="00B802C6">
        <w:rPr>
          <w:rFonts w:asciiTheme="majorBidi" w:hAnsiTheme="majorBidi" w:cstheme="majorBidi"/>
          <w:noProof/>
          <w:sz w:val="24"/>
          <w:szCs w:val="24"/>
        </w:rPr>
        <w:t>(2), 200. https://doi.org/10.32934/jmie.v5i2.333</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Luthfi, H., &amp; Rakhmawati, F. (2022). Pengembangan Lembar Kerja Peserta Didik (LKPD) Berbasis Etnomatematika pada Materi Bangun Ruang Sisi Lengkung Kelas IX. </w:t>
      </w:r>
      <w:r w:rsidRPr="00B802C6">
        <w:rPr>
          <w:rFonts w:asciiTheme="majorBidi" w:hAnsiTheme="majorBidi" w:cstheme="majorBidi"/>
          <w:i/>
          <w:iCs/>
          <w:noProof/>
          <w:sz w:val="24"/>
          <w:szCs w:val="24"/>
        </w:rPr>
        <w:t>Jurnal Cendekia : Jurnal Pendidikan Matematika</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7</w:t>
      </w:r>
      <w:r w:rsidRPr="00B802C6">
        <w:rPr>
          <w:rFonts w:asciiTheme="majorBidi" w:hAnsiTheme="majorBidi" w:cstheme="majorBidi"/>
          <w:noProof/>
          <w:sz w:val="24"/>
          <w:szCs w:val="24"/>
        </w:rPr>
        <w:t>(1), 98–109. https://doi.org/10.31004/cendekia.v7i1.1877</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Munthahana, J., &amp; Budiarto, M. T. (2020). Ethnomathematics Exploration in Panataran Temple and Its Implementation in Learning. </w:t>
      </w:r>
      <w:r w:rsidRPr="00B802C6">
        <w:rPr>
          <w:rFonts w:asciiTheme="majorBidi" w:hAnsiTheme="majorBidi" w:cstheme="majorBidi"/>
          <w:i/>
          <w:iCs/>
          <w:noProof/>
          <w:sz w:val="24"/>
          <w:szCs w:val="24"/>
        </w:rPr>
        <w:t>Indonesian Journal of Science and Mathematics Education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3</w:t>
      </w:r>
      <w:r w:rsidRPr="00B802C6">
        <w:rPr>
          <w:rFonts w:asciiTheme="majorBidi" w:hAnsiTheme="majorBidi" w:cstheme="majorBidi"/>
          <w:noProof/>
          <w:sz w:val="24"/>
          <w:szCs w:val="24"/>
        </w:rPr>
        <w:t>(2), 196–209. https://doi.org/10.24042/ijsme.v3i2.6718</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Noveno, C., &amp; Putra, A. (2022). </w:t>
      </w:r>
      <w:r w:rsidRPr="00B802C6">
        <w:rPr>
          <w:rFonts w:asciiTheme="majorBidi" w:hAnsiTheme="majorBidi" w:cstheme="majorBidi"/>
          <w:i/>
          <w:iCs/>
          <w:noProof/>
          <w:sz w:val="24"/>
          <w:szCs w:val="24"/>
        </w:rPr>
        <w:t>Pengembangan Lembar Kerja Siswa Etnomatematika Jajanan Pasar Tradisional Kota Pontianak Pada Materi Bangun Ruang Sisi Datar</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1</w:t>
      </w:r>
      <w:r w:rsidRPr="00B802C6">
        <w:rPr>
          <w:rFonts w:asciiTheme="majorBidi" w:hAnsiTheme="majorBidi" w:cstheme="majorBidi"/>
          <w:noProof/>
          <w:sz w:val="24"/>
          <w:szCs w:val="24"/>
        </w:rPr>
        <w:t>(2), 144–152.</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Oktarina, A., Luthfiana, M., &amp; Refianti, R. (2019). Pengembangan Lembar Kerja Siswa (LKS) Etnomatematika Berbasis Penemuan Terbimbing pada Materi Bangun Ruang Sisi Datar. </w:t>
      </w:r>
      <w:r w:rsidRPr="00B802C6">
        <w:rPr>
          <w:rFonts w:asciiTheme="majorBidi" w:hAnsiTheme="majorBidi" w:cstheme="majorBidi"/>
          <w:i/>
          <w:iCs/>
          <w:noProof/>
          <w:sz w:val="24"/>
          <w:szCs w:val="24"/>
        </w:rPr>
        <w:t>Jurnal Pendidikan Matematika (JUDIKA EDUCATION)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2</w:t>
      </w:r>
      <w:r w:rsidRPr="00B802C6">
        <w:rPr>
          <w:rFonts w:asciiTheme="majorBidi" w:hAnsiTheme="majorBidi" w:cstheme="majorBidi"/>
          <w:noProof/>
          <w:sz w:val="24"/>
          <w:szCs w:val="24"/>
        </w:rPr>
        <w:t>(2), 91–101. https://doi.org/10.31539/judika.v2i2.887</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Salafudin, Sholehuddin, M. S., Sholikhah, A., &amp; Sari, N. H. M. (2022). Ethnomathematics in Elementary School Pengembangan LKS dengan Pembelajaran Matematika Realistik. </w:t>
      </w:r>
      <w:r w:rsidRPr="00B802C6">
        <w:rPr>
          <w:rFonts w:asciiTheme="majorBidi" w:hAnsiTheme="majorBidi" w:cstheme="majorBidi"/>
          <w:i/>
          <w:iCs/>
          <w:noProof/>
          <w:sz w:val="24"/>
          <w:szCs w:val="24"/>
        </w:rPr>
        <w:t>Jurnal Phenomenon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12</w:t>
      </w:r>
      <w:r w:rsidRPr="00B802C6">
        <w:rPr>
          <w:rFonts w:asciiTheme="majorBidi" w:hAnsiTheme="majorBidi" w:cstheme="majorBidi"/>
          <w:noProof/>
          <w:sz w:val="24"/>
          <w:szCs w:val="24"/>
        </w:rPr>
        <w:t>(1), 77–89.</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Septiani, N., &amp; Hidayah, N. (2022). Pengembangan LKPD dengan Pendekatan PMRI pada Materi Bangun Ruang Sisi Datar Konteks Bangunan Bersejarah Lawang Sewu. </w:t>
      </w:r>
      <w:r w:rsidRPr="00B802C6">
        <w:rPr>
          <w:rFonts w:asciiTheme="majorBidi" w:hAnsiTheme="majorBidi" w:cstheme="majorBidi"/>
          <w:i/>
          <w:iCs/>
          <w:noProof/>
          <w:sz w:val="24"/>
          <w:szCs w:val="24"/>
        </w:rPr>
        <w:t>Konferensi Ilmiah Pendidikan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3</w:t>
      </w:r>
      <w:r w:rsidRPr="00B802C6">
        <w:rPr>
          <w:rFonts w:asciiTheme="majorBidi" w:hAnsiTheme="majorBidi" w:cstheme="majorBidi"/>
          <w:noProof/>
          <w:sz w:val="24"/>
          <w:szCs w:val="24"/>
        </w:rPr>
        <w:t>, 87–100.</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Suanto, E., Khainingsih, F. G., &amp; Hutapea, N. M. (2022). Pengembangan Lkpd-El Berbasis Problem Based Learning Berkonteks Budaya Melayu Untuk Meningkatkan Kemampuan Berpikir Kritis Matematis. </w:t>
      </w:r>
      <w:r w:rsidRPr="00B802C6">
        <w:rPr>
          <w:rFonts w:asciiTheme="majorBidi" w:hAnsiTheme="majorBidi" w:cstheme="majorBidi"/>
          <w:i/>
          <w:iCs/>
          <w:noProof/>
          <w:sz w:val="24"/>
          <w:szCs w:val="24"/>
        </w:rPr>
        <w:t>AKSIOMA: Jurnal Program Studi Pendidikan Matematika</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11</w:t>
      </w:r>
      <w:r w:rsidRPr="00B802C6">
        <w:rPr>
          <w:rFonts w:asciiTheme="majorBidi" w:hAnsiTheme="majorBidi" w:cstheme="majorBidi"/>
          <w:noProof/>
          <w:sz w:val="24"/>
          <w:szCs w:val="24"/>
        </w:rPr>
        <w:t>(3), 1805. https://doi.org/10.24127/ajpm.v11i3.5659</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Teo, T. W., &amp; Goh, W. P. J. (2019). Assessing lower track students’ learning in science inference skills in Singapore. </w:t>
      </w:r>
      <w:r w:rsidRPr="00B802C6">
        <w:rPr>
          <w:rFonts w:asciiTheme="majorBidi" w:hAnsiTheme="majorBidi" w:cstheme="majorBidi"/>
          <w:i/>
          <w:iCs/>
          <w:noProof/>
          <w:sz w:val="24"/>
          <w:szCs w:val="24"/>
        </w:rPr>
        <w:t>Asia-Pacific Science Education</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5</w:t>
      </w:r>
      <w:r w:rsidRPr="00B802C6">
        <w:rPr>
          <w:rFonts w:asciiTheme="majorBidi" w:hAnsiTheme="majorBidi" w:cstheme="majorBidi"/>
          <w:noProof/>
          <w:sz w:val="24"/>
          <w:szCs w:val="24"/>
        </w:rPr>
        <w:t>(1), 1–19. https://doi.org/10.1186/s41029-019-0033-z</w:t>
      </w:r>
    </w:p>
    <w:p w:rsidR="00D92A35" w:rsidRPr="00B802C6" w:rsidRDefault="00D92A35" w:rsidP="00B802C6">
      <w:pPr>
        <w:widowControl w:val="0"/>
        <w:autoSpaceDE w:val="0"/>
        <w:autoSpaceDN w:val="0"/>
        <w:adjustRightInd w:val="0"/>
        <w:spacing w:after="0"/>
        <w:ind w:left="480" w:hanging="480"/>
        <w:jc w:val="both"/>
        <w:rPr>
          <w:rFonts w:asciiTheme="majorBidi" w:hAnsiTheme="majorBidi" w:cstheme="majorBidi"/>
          <w:noProof/>
          <w:sz w:val="24"/>
          <w:szCs w:val="24"/>
        </w:rPr>
      </w:pPr>
      <w:r w:rsidRPr="00B802C6">
        <w:rPr>
          <w:rFonts w:asciiTheme="majorBidi" w:hAnsiTheme="majorBidi" w:cstheme="majorBidi"/>
          <w:noProof/>
          <w:sz w:val="24"/>
          <w:szCs w:val="24"/>
        </w:rPr>
        <w:t xml:space="preserve">Wati, J. (2020). Tahap Preliminary Research Pengembangan LKPD Berbasis PBL Materi Peluang Kejadian Majemuk. </w:t>
      </w:r>
      <w:r w:rsidRPr="00B802C6">
        <w:rPr>
          <w:rFonts w:asciiTheme="majorBidi" w:hAnsiTheme="majorBidi" w:cstheme="majorBidi"/>
          <w:i/>
          <w:iCs/>
          <w:noProof/>
          <w:sz w:val="24"/>
          <w:szCs w:val="24"/>
        </w:rPr>
        <w:t>INOMATIKA</w:t>
      </w:r>
      <w:r w:rsidRPr="00B802C6">
        <w:rPr>
          <w:rFonts w:asciiTheme="majorBidi" w:hAnsiTheme="majorBidi" w:cstheme="majorBidi"/>
          <w:noProof/>
          <w:sz w:val="24"/>
          <w:szCs w:val="24"/>
        </w:rPr>
        <w:t xml:space="preserve">, </w:t>
      </w:r>
      <w:r w:rsidRPr="00B802C6">
        <w:rPr>
          <w:rFonts w:asciiTheme="majorBidi" w:hAnsiTheme="majorBidi" w:cstheme="majorBidi"/>
          <w:i/>
          <w:iCs/>
          <w:noProof/>
          <w:sz w:val="24"/>
          <w:szCs w:val="24"/>
        </w:rPr>
        <w:t>2</w:t>
      </w:r>
      <w:r w:rsidRPr="00B802C6">
        <w:rPr>
          <w:rFonts w:asciiTheme="majorBidi" w:hAnsiTheme="majorBidi" w:cstheme="majorBidi"/>
          <w:noProof/>
          <w:sz w:val="24"/>
          <w:szCs w:val="24"/>
        </w:rPr>
        <w:t>(2), 106–116.</w:t>
      </w:r>
    </w:p>
    <w:p w:rsidR="00D92A35" w:rsidRPr="00B802C6" w:rsidRDefault="00D92A35" w:rsidP="00B802C6">
      <w:pPr>
        <w:pStyle w:val="Pythagoras941Reference"/>
        <w:spacing w:after="0"/>
        <w:rPr>
          <w:rFonts w:asciiTheme="majorBidi" w:hAnsiTheme="majorBidi" w:cstheme="majorBidi"/>
          <w:sz w:val="24"/>
        </w:rPr>
      </w:pPr>
      <w:r w:rsidRPr="00B802C6">
        <w:rPr>
          <w:rFonts w:asciiTheme="majorBidi" w:hAnsiTheme="majorBidi" w:cstheme="majorBidi"/>
          <w:sz w:val="24"/>
        </w:rPr>
        <w:fldChar w:fldCharType="end"/>
      </w:r>
    </w:p>
    <w:p w:rsidR="00D92A35" w:rsidRPr="002251C0" w:rsidRDefault="00D92A35" w:rsidP="00B802C6">
      <w:pPr>
        <w:spacing w:after="0" w:line="240" w:lineRule="auto"/>
        <w:jc w:val="both"/>
        <w:rPr>
          <w:rFonts w:ascii="Times New Roman" w:eastAsia="Times New Roman" w:hAnsi="Times New Roman" w:cs="Times New Roman"/>
          <w:sz w:val="24"/>
          <w:szCs w:val="24"/>
          <w:lang w:val="en-US"/>
        </w:rPr>
      </w:pPr>
    </w:p>
    <w:p w:rsidR="00820331" w:rsidRDefault="00820331"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sectPr w:rsidR="00820331" w:rsidSect="00D365C0">
      <w:headerReference w:type="even" r:id="rId22"/>
      <w:headerReference w:type="default" r:id="rId23"/>
      <w:footerReference w:type="even" r:id="rId24"/>
      <w:footerReference w:type="default" r:id="rId25"/>
      <w:headerReference w:type="first" r:id="rId26"/>
      <w:footerReference w:type="first" r:id="rId27"/>
      <w:pgSz w:w="11906" w:h="16838" w:code="9"/>
      <w:pgMar w:top="681" w:right="1440" w:bottom="737" w:left="1440" w:header="680" w:footer="45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DD1" w:rsidRDefault="00A33DD1" w:rsidP="000E2BCF">
      <w:pPr>
        <w:spacing w:after="0" w:line="240" w:lineRule="auto"/>
      </w:pPr>
      <w:r>
        <w:separator/>
      </w:r>
    </w:p>
  </w:endnote>
  <w:endnote w:type="continuationSeparator" w:id="1">
    <w:p w:rsidR="00A33DD1" w:rsidRDefault="00A33DD1" w:rsidP="000E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85E" w:rsidRDefault="004968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No</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00B349A8"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00B349A8" w:rsidRPr="00112689">
            <w:rPr>
              <w:rFonts w:ascii="Times New Roman" w:hAnsi="Times New Roman" w:cs="Times New Roman"/>
              <w:b/>
            </w:rPr>
            <w:fldChar w:fldCharType="separate"/>
          </w:r>
          <w:r w:rsidR="002A1526">
            <w:rPr>
              <w:rFonts w:ascii="Times New Roman" w:hAnsi="Times New Roman" w:cs="Times New Roman"/>
              <w:b/>
              <w:noProof/>
            </w:rPr>
            <w:t>2</w:t>
          </w:r>
          <w:r w:rsidR="00B349A8" w:rsidRPr="00112689">
            <w:rPr>
              <w:rFonts w:ascii="Times New Roman" w:hAnsi="Times New Roman" w:cs="Times New Roman"/>
              <w:b/>
              <w:noProof/>
            </w:rPr>
            <w:fldChar w:fldCharType="end"/>
          </w:r>
        </w:p>
      </w:tc>
    </w:tr>
  </w:tbl>
  <w:p w:rsidR="0049685E" w:rsidRDefault="0049685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00B349A8"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00B349A8" w:rsidRPr="00112689">
            <w:rPr>
              <w:rFonts w:ascii="Times New Roman" w:hAnsi="Times New Roman" w:cs="Times New Roman"/>
              <w:b/>
            </w:rPr>
            <w:fldChar w:fldCharType="separate"/>
          </w:r>
          <w:r w:rsidR="002A1526">
            <w:rPr>
              <w:rFonts w:ascii="Times New Roman" w:hAnsi="Times New Roman" w:cs="Times New Roman"/>
              <w:b/>
              <w:noProof/>
            </w:rPr>
            <w:t>1</w:t>
          </w:r>
          <w:r w:rsidR="00B349A8"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DD1" w:rsidRDefault="00A33DD1" w:rsidP="000E2BCF">
      <w:pPr>
        <w:spacing w:after="0" w:line="240" w:lineRule="auto"/>
      </w:pPr>
      <w:r>
        <w:separator/>
      </w:r>
    </w:p>
  </w:footnote>
  <w:footnote w:type="continuationSeparator" w:id="1">
    <w:p w:rsidR="00A33DD1" w:rsidRDefault="00A33DD1" w:rsidP="000E2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85E" w:rsidRDefault="004968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R="0049685E" w:rsidTr="005052FB">
      <w:tc>
        <w:tcPr>
          <w:tcW w:w="4508" w:type="dxa"/>
          <w:tcBorders>
            <w:bottom w:val="single" w:sz="18" w:space="0" w:color="2E74B5" w:themeColor="accent1" w:themeShade="BF"/>
          </w:tcBorders>
        </w:tcPr>
        <w:p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sidRPr="00126BD4">
            <w:rPr>
              <w:rFonts w:ascii="Times New Roman" w:hAnsi="Times New Roman" w:cs="Times New Roman"/>
              <w:i/>
              <w:sz w:val="20"/>
              <w:szCs w:val="24"/>
            </w:rPr>
            <w:t>………..</w:t>
          </w:r>
        </w:p>
      </w:tc>
    </w:tr>
  </w:tbl>
  <w:p w:rsidR="0049685E" w:rsidRDefault="0049685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
      <w:gridCol w:w="4884"/>
      <w:gridCol w:w="3338"/>
    </w:tblGrid>
    <w:tr w:rsidR="0049685E"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PrismaSains: JurnalPengkajianIlmudanPembelajaranMatematikadan IPA IKIP Mataram</w:t>
          </w:r>
        </w:p>
        <w:p w:rsidR="0049685E" w:rsidRPr="00050A0D" w:rsidRDefault="00B349A8"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p>
      </w:tc>
      <w:tc>
        <w:tcPr>
          <w:tcW w:w="3416" w:type="dxa"/>
          <w:tcBorders>
            <w:top w:val="single" w:sz="18" w:space="0" w:color="2E74B5" w:themeColor="accent1" w:themeShade="BF"/>
            <w:bottom w:val="single" w:sz="18" w:space="0" w:color="2E74B5" w:themeColor="accent1" w:themeShade="BF"/>
          </w:tcBorders>
        </w:tcPr>
        <w:p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MonthYear. Vol. x, No. y</w:t>
          </w:r>
        </w:p>
        <w:p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sidR="00D365C0">
            <w:rPr>
              <w:rFonts w:ascii="Times New Roman" w:eastAsia="Times New Roman" w:hAnsi="Times New Roman" w:cs="Times New Roman"/>
              <w:bCs/>
              <w:i/>
              <w:color w:val="000000"/>
              <w:sz w:val="20"/>
              <w:szCs w:val="20"/>
            </w:rPr>
            <w:t>xx-yy</w:t>
          </w:r>
        </w:p>
      </w:tc>
    </w:tr>
  </w:tbl>
  <w:p w:rsidR="0049685E" w:rsidRDefault="0049685E" w:rsidP="002421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4.25pt;height:14.25pt;visibility:visible;mso-wrap-style:square" o:bullet="t">
        <v:imagedata r:id="rId1" o:title=""/>
      </v:shape>
    </w:pict>
  </w:numPicBullet>
  <w:abstractNum w:abstractNumId="0">
    <w:nsid w:val="08573523"/>
    <w:multiLevelType w:val="hybridMultilevel"/>
    <w:tmpl w:val="70363B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nsid w:val="1E8B77DD"/>
    <w:multiLevelType w:val="hybridMultilevel"/>
    <w:tmpl w:val="B0264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251C6"/>
    <w:multiLevelType w:val="hybridMultilevel"/>
    <w:tmpl w:val="9C2E3C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745B06EB"/>
    <w:multiLevelType w:val="hybridMultilevel"/>
    <w:tmpl w:val="4CC209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10"/>
  </w:num>
  <w:num w:numId="5">
    <w:abstractNumId w:val="5"/>
  </w:num>
  <w:num w:numId="6">
    <w:abstractNumId w:val="1"/>
  </w:num>
  <w:num w:numId="7">
    <w:abstractNumId w:val="6"/>
  </w:num>
  <w:num w:numId="8">
    <w:abstractNumId w:val="2"/>
  </w:num>
  <w:num w:numId="9">
    <w:abstractNumId w:val="3"/>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A1526"/>
    <w:rsid w:val="002B5A1A"/>
    <w:rsid w:val="002C1AA4"/>
    <w:rsid w:val="002C62D5"/>
    <w:rsid w:val="002E3DE6"/>
    <w:rsid w:val="002E6CFB"/>
    <w:rsid w:val="002F0EE8"/>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3DD1"/>
    <w:rsid w:val="00A36E67"/>
    <w:rsid w:val="00A45D20"/>
    <w:rsid w:val="00A50BA2"/>
    <w:rsid w:val="00A57964"/>
    <w:rsid w:val="00A61D91"/>
    <w:rsid w:val="00A66085"/>
    <w:rsid w:val="00AB498E"/>
    <w:rsid w:val="00AB5FF6"/>
    <w:rsid w:val="00AB656C"/>
    <w:rsid w:val="00AB74C8"/>
    <w:rsid w:val="00AD0461"/>
    <w:rsid w:val="00AE2264"/>
    <w:rsid w:val="00AE245D"/>
    <w:rsid w:val="00AF2F3B"/>
    <w:rsid w:val="00B029B5"/>
    <w:rsid w:val="00B045C8"/>
    <w:rsid w:val="00B21E24"/>
    <w:rsid w:val="00B349A8"/>
    <w:rsid w:val="00B35A43"/>
    <w:rsid w:val="00B410B4"/>
    <w:rsid w:val="00B429F0"/>
    <w:rsid w:val="00B50E91"/>
    <w:rsid w:val="00B52E00"/>
    <w:rsid w:val="00B565E1"/>
    <w:rsid w:val="00B6417D"/>
    <w:rsid w:val="00B66A79"/>
    <w:rsid w:val="00B802C6"/>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92A35"/>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34FD"/>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Pythagoras941Reference">
    <w:name w:val="Pythagoras_941Reference"/>
    <w:basedOn w:val="Normal"/>
    <w:qFormat/>
    <w:rsid w:val="00D92A35"/>
    <w:pPr>
      <w:spacing w:after="120" w:line="240" w:lineRule="auto"/>
      <w:ind w:left="425" w:hanging="425"/>
      <w:jc w:val="both"/>
    </w:pPr>
    <w:rPr>
      <w:rFonts w:ascii="Calibri" w:eastAsia="Times New Roman" w:hAnsi="Calibri" w:cs="Times New Roman"/>
      <w:spacing w:val="-10"/>
      <w:szCs w:val="24"/>
      <w:lang w:val="en-US"/>
    </w:rPr>
  </w:style>
  <w:style w:type="paragraph" w:styleId="HTMLPreformatted">
    <w:name w:val="HTML Preformatted"/>
    <w:basedOn w:val="Normal"/>
    <w:link w:val="HTMLPreformattedChar"/>
    <w:uiPriority w:val="99"/>
    <w:semiHidden/>
    <w:unhideWhenUsed/>
    <w:rsid w:val="002A15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1526"/>
    <w:rPr>
      <w:rFonts w:ascii="Consolas" w:hAnsi="Consolas"/>
      <w:sz w:val="20"/>
      <w:szCs w:val="20"/>
      <w:lang w:val="id-ID"/>
    </w:rPr>
  </w:style>
</w:styles>
</file>

<file path=word/webSettings.xml><?xml version="1.0" encoding="utf-8"?>
<w:webSettings xmlns:r="http://schemas.openxmlformats.org/officeDocument/2006/relationships" xmlns:w="http://schemas.openxmlformats.org/wordprocessingml/2006/main">
  <w:divs>
    <w:div w:id="319237102">
      <w:bodyDiv w:val="1"/>
      <w:marLeft w:val="0"/>
      <w:marRight w:val="0"/>
      <w:marTop w:val="0"/>
      <w:marBottom w:val="0"/>
      <w:divBdr>
        <w:top w:val="none" w:sz="0" w:space="0" w:color="auto"/>
        <w:left w:val="none" w:sz="0" w:space="0" w:color="auto"/>
        <w:bottom w:val="none" w:sz="0" w:space="0" w:color="auto"/>
        <w:right w:val="none" w:sz="0" w:space="0" w:color="auto"/>
      </w:divBdr>
    </w:div>
    <w:div w:id="338431901">
      <w:bodyDiv w:val="1"/>
      <w:marLeft w:val="0"/>
      <w:marRight w:val="0"/>
      <w:marTop w:val="0"/>
      <w:marBottom w:val="0"/>
      <w:divBdr>
        <w:top w:val="none" w:sz="0" w:space="0" w:color="auto"/>
        <w:left w:val="none" w:sz="0" w:space="0" w:color="auto"/>
        <w:bottom w:val="none" w:sz="0" w:space="0" w:color="auto"/>
        <w:right w:val="none" w:sz="0" w:space="0" w:color="auto"/>
      </w:divBdr>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hslsbl@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12811</Words>
  <Characters>73025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Lenovo IP300</cp:lastModifiedBy>
  <cp:revision>2</cp:revision>
  <cp:lastPrinted>2019-12-19T03:42:00Z</cp:lastPrinted>
  <dcterms:created xsi:type="dcterms:W3CDTF">2024-05-22T02:01:00Z</dcterms:created>
  <dcterms:modified xsi:type="dcterms:W3CDTF">2024-05-22T02:01:00Z</dcterms:modified>
</cp:coreProperties>
</file>